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158"/>
        <w:tblW w:w="10740" w:type="dxa"/>
        <w:tblLook w:val="04A0" w:firstRow="1" w:lastRow="0" w:firstColumn="1" w:lastColumn="0" w:noHBand="0" w:noVBand="1"/>
      </w:tblPr>
      <w:tblGrid>
        <w:gridCol w:w="5778"/>
        <w:gridCol w:w="281"/>
        <w:gridCol w:w="4681"/>
      </w:tblGrid>
      <w:tr w:rsidR="00222D13" w:rsidTr="006D3A5C">
        <w:trPr>
          <w:trHeight w:val="1266"/>
        </w:trPr>
        <w:tc>
          <w:tcPr>
            <w:tcW w:w="10740" w:type="dxa"/>
            <w:gridSpan w:val="3"/>
            <w:tcBorders>
              <w:bottom w:val="nil"/>
            </w:tcBorders>
            <w:shd w:val="clear" w:color="auto" w:fill="DBE5F1" w:themeFill="accent1" w:themeFillTint="33"/>
          </w:tcPr>
          <w:p w:rsidR="00222D13" w:rsidRDefault="003914FC" w:rsidP="00222D13">
            <w:pPr>
              <w:spacing w:before="240"/>
            </w:pPr>
            <w:r>
              <w:rPr>
                <w:noProof/>
              </w:rPr>
              <mc:AlternateContent>
                <mc:Choice Requires="wps">
                  <w:drawing>
                    <wp:anchor distT="0" distB="0" distL="114300" distR="114300" simplePos="0" relativeHeight="251660288" behindDoc="0" locked="0" layoutInCell="1" allowOverlap="1">
                      <wp:simplePos x="0" y="0"/>
                      <wp:positionH relativeFrom="column">
                        <wp:posOffset>955040</wp:posOffset>
                      </wp:positionH>
                      <wp:positionV relativeFrom="paragraph">
                        <wp:posOffset>183515</wp:posOffset>
                      </wp:positionV>
                      <wp:extent cx="3696970" cy="72707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727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D13" w:rsidRPr="00F25DB9" w:rsidRDefault="00222D13" w:rsidP="00222D13">
                                  <w:pPr>
                                    <w:spacing w:after="60"/>
                                    <w:ind w:left="-306" w:firstLine="306"/>
                                    <w:jc w:val="center"/>
                                    <w:rPr>
                                      <w:rFonts w:ascii="Times New Roman" w:hAnsi="Times New Roman" w:cs="Times New Roman"/>
                                      <w:b/>
                                      <w:sz w:val="28"/>
                                      <w:szCs w:val="28"/>
                                    </w:rPr>
                                  </w:pPr>
                                  <w:r w:rsidRPr="00F25DB9">
                                    <w:rPr>
                                      <w:rFonts w:ascii="Times New Roman" w:hAnsi="Times New Roman" w:cs="Times New Roman"/>
                                      <w:b/>
                                      <w:sz w:val="28"/>
                                      <w:szCs w:val="28"/>
                                    </w:rPr>
                                    <w:t>Cục Quả</w:t>
                                  </w:r>
                                  <w:r w:rsidR="001D5F42" w:rsidRPr="00F25DB9">
                                    <w:rPr>
                                      <w:rFonts w:ascii="Times New Roman" w:hAnsi="Times New Roman" w:cs="Times New Roman"/>
                                      <w:b/>
                                      <w:sz w:val="28"/>
                                      <w:szCs w:val="28"/>
                                    </w:rPr>
                                    <w:t>n lý, Giám sát b</w:t>
                                  </w:r>
                                  <w:r w:rsidRPr="00F25DB9">
                                    <w:rPr>
                                      <w:rFonts w:ascii="Times New Roman" w:hAnsi="Times New Roman" w:cs="Times New Roman"/>
                                      <w:b/>
                                      <w:sz w:val="28"/>
                                      <w:szCs w:val="28"/>
                                    </w:rPr>
                                    <w:t>ảo hiểm</w:t>
                                  </w:r>
                                </w:p>
                                <w:p w:rsidR="00222D13" w:rsidRPr="00F25DB9" w:rsidRDefault="00222D13" w:rsidP="00222D13">
                                  <w:pPr>
                                    <w:jc w:val="center"/>
                                    <w:rPr>
                                      <w:sz w:val="28"/>
                                      <w:szCs w:val="28"/>
                                    </w:rPr>
                                  </w:pPr>
                                  <w:r w:rsidRPr="00F25DB9">
                                    <w:rPr>
                                      <w:rFonts w:ascii="Times New Roman" w:hAnsi="Times New Roman" w:cs="Times New Roman"/>
                                      <w:b/>
                                      <w:sz w:val="28"/>
                                      <w:szCs w:val="28"/>
                                    </w:rPr>
                                    <w:t>Trung tâm Nghiên c</w:t>
                                  </w:r>
                                  <w:r w:rsidRPr="00F25DB9">
                                    <w:rPr>
                                      <w:rFonts w:ascii="Times New Roman" w:hAnsi="Times New Roman" w:cs="Times New Roman"/>
                                      <w:b/>
                                      <w:sz w:val="28"/>
                                      <w:szCs w:val="28"/>
                                      <w:lang w:val="vi-VN"/>
                                    </w:rPr>
                                    <w:t xml:space="preserve">ứu và Đào tạo </w:t>
                                  </w:r>
                                  <w:r w:rsidRPr="00F25DB9">
                                    <w:rPr>
                                      <w:rFonts w:ascii="Times New Roman" w:hAnsi="Times New Roman" w:cs="Times New Roman"/>
                                      <w:b/>
                                      <w:sz w:val="28"/>
                                      <w:szCs w:val="28"/>
                                    </w:rPr>
                                    <w:t>bảo hiểm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2pt;margin-top:14.45pt;width:291.1pt;height:57.2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vFoswIAALk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" filled="f" stroked="f">
                      <v:textbox style="mso-fit-shape-to-text:t">
                        <w:txbxContent>
                          <w:p w:rsidR="00222D13" w:rsidRPr="00F25DB9" w:rsidRDefault="00222D13" w:rsidP="00222D13">
                            <w:pPr>
                              <w:spacing w:after="60"/>
                              <w:ind w:left="-306" w:firstLine="306"/>
                              <w:jc w:val="center"/>
                              <w:rPr>
                                <w:rFonts w:ascii="Times New Roman" w:hAnsi="Times New Roman" w:cs="Times New Roman"/>
                                <w:b/>
                                <w:sz w:val="28"/>
                                <w:szCs w:val="28"/>
                              </w:rPr>
                            </w:pPr>
                            <w:r w:rsidRPr="00F25DB9">
                              <w:rPr>
                                <w:rFonts w:ascii="Times New Roman" w:hAnsi="Times New Roman" w:cs="Times New Roman"/>
                                <w:b/>
                                <w:sz w:val="28"/>
                                <w:szCs w:val="28"/>
                              </w:rPr>
                              <w:t>Cục Quả</w:t>
                            </w:r>
                            <w:r w:rsidR="001D5F42" w:rsidRPr="00F25DB9">
                              <w:rPr>
                                <w:rFonts w:ascii="Times New Roman" w:hAnsi="Times New Roman" w:cs="Times New Roman"/>
                                <w:b/>
                                <w:sz w:val="28"/>
                                <w:szCs w:val="28"/>
                              </w:rPr>
                              <w:t>n lý, Giám sát b</w:t>
                            </w:r>
                            <w:r w:rsidRPr="00F25DB9">
                              <w:rPr>
                                <w:rFonts w:ascii="Times New Roman" w:hAnsi="Times New Roman" w:cs="Times New Roman"/>
                                <w:b/>
                                <w:sz w:val="28"/>
                                <w:szCs w:val="28"/>
                              </w:rPr>
                              <w:t>ảo hiểm</w:t>
                            </w:r>
                          </w:p>
                          <w:p w:rsidR="00222D13" w:rsidRPr="00F25DB9" w:rsidRDefault="00222D13" w:rsidP="00222D13">
                            <w:pPr>
                              <w:jc w:val="center"/>
                              <w:rPr>
                                <w:sz w:val="28"/>
                                <w:szCs w:val="28"/>
                              </w:rPr>
                            </w:pPr>
                            <w:r w:rsidRPr="00F25DB9">
                              <w:rPr>
                                <w:rFonts w:ascii="Times New Roman" w:hAnsi="Times New Roman" w:cs="Times New Roman"/>
                                <w:b/>
                                <w:sz w:val="28"/>
                                <w:szCs w:val="28"/>
                              </w:rPr>
                              <w:t>Trung tâm Nghiên c</w:t>
                            </w:r>
                            <w:r w:rsidRPr="00F25DB9">
                              <w:rPr>
                                <w:rFonts w:ascii="Times New Roman" w:hAnsi="Times New Roman" w:cs="Times New Roman"/>
                                <w:b/>
                                <w:sz w:val="28"/>
                                <w:szCs w:val="28"/>
                                <w:lang w:val="vi-VN"/>
                              </w:rPr>
                              <w:t xml:space="preserve">ứu và Đào tạo </w:t>
                            </w:r>
                            <w:r w:rsidRPr="00F25DB9">
                              <w:rPr>
                                <w:rFonts w:ascii="Times New Roman" w:hAnsi="Times New Roman" w:cs="Times New Roman"/>
                                <w:b/>
                                <w:sz w:val="28"/>
                                <w:szCs w:val="28"/>
                              </w:rPr>
                              <w:t>bảo hiểm</w:t>
                            </w:r>
                          </w:p>
                        </w:txbxContent>
                      </v:textbox>
                    </v:shape>
                  </w:pict>
                </mc:Fallback>
              </mc:AlternateContent>
            </w:r>
            <w:r w:rsidR="00222D13">
              <w:br w:type="page"/>
            </w:r>
            <w:r w:rsidR="00222D13">
              <w:rPr>
                <w:noProof/>
              </w:rPr>
              <w:drawing>
                <wp:inline distT="0" distB="0" distL="0" distR="0" wp14:anchorId="69B39386" wp14:editId="292F688E">
                  <wp:extent cx="952500" cy="574827"/>
                  <wp:effectExtent l="19050" t="0" r="0" b="0"/>
                  <wp:docPr id="14" name="Picture 1" descr="Description: IRT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RT1.bmp"/>
                          <pic:cNvPicPr>
                            <a:picLocks noChangeAspect="1" noChangeArrowheads="1"/>
                          </pic:cNvPicPr>
                        </pic:nvPicPr>
                        <pic:blipFill>
                          <a:blip r:embed="rId7" r:link="rId8"/>
                          <a:srcRect/>
                          <a:stretch>
                            <a:fillRect/>
                          </a:stretch>
                        </pic:blipFill>
                        <pic:spPr bwMode="auto">
                          <a:xfrm>
                            <a:off x="0" y="0"/>
                            <a:ext cx="955442" cy="576603"/>
                          </a:xfrm>
                          <a:prstGeom prst="rect">
                            <a:avLst/>
                          </a:prstGeom>
                          <a:noFill/>
                          <a:ln w="9525">
                            <a:noFill/>
                            <a:miter lim="800000"/>
                            <a:headEnd/>
                            <a:tailEnd/>
                          </a:ln>
                        </pic:spPr>
                      </pic:pic>
                    </a:graphicData>
                  </a:graphic>
                </wp:inline>
              </w:drawing>
            </w:r>
          </w:p>
          <w:p w:rsidR="00222D13" w:rsidRPr="00A11CE4" w:rsidRDefault="00222D13" w:rsidP="00D36B6C"/>
        </w:tc>
      </w:tr>
      <w:tr w:rsidR="00105AD7" w:rsidTr="006D3A5C">
        <w:trPr>
          <w:trHeight w:val="992"/>
        </w:trPr>
        <w:tc>
          <w:tcPr>
            <w:tcW w:w="10740" w:type="dxa"/>
            <w:gridSpan w:val="3"/>
            <w:tcBorders>
              <w:top w:val="nil"/>
              <w:bottom w:val="single" w:sz="4" w:space="0" w:color="auto"/>
            </w:tcBorders>
            <w:shd w:val="clear" w:color="auto" w:fill="DBE5F1" w:themeFill="accent1" w:themeFillTint="33"/>
          </w:tcPr>
          <w:p w:rsidR="00105AD7" w:rsidRPr="00B95472" w:rsidRDefault="00105AD7" w:rsidP="007F07FB">
            <w:pPr>
              <w:spacing w:before="80" w:line="480" w:lineRule="exact"/>
              <w:jc w:val="center"/>
              <w:rPr>
                <w:rFonts w:ascii="Times New Roman" w:hAnsi="Times New Roman" w:cs="Times New Roman"/>
                <w:b/>
                <w:color w:val="0070C0"/>
                <w:sz w:val="40"/>
                <w:szCs w:val="40"/>
              </w:rPr>
            </w:pPr>
            <w:r w:rsidRPr="00B95472">
              <w:rPr>
                <w:rFonts w:ascii="Times New Roman" w:hAnsi="Times New Roman" w:cs="Times New Roman"/>
                <w:b/>
                <w:color w:val="0070C0"/>
                <w:sz w:val="40"/>
                <w:szCs w:val="40"/>
              </w:rPr>
              <w:t xml:space="preserve">Khóa đào tạo </w:t>
            </w:r>
            <w:r w:rsidR="00365E90">
              <w:rPr>
                <w:rFonts w:ascii="Times New Roman" w:hAnsi="Times New Roman" w:cs="Times New Roman"/>
                <w:b/>
                <w:color w:val="0070C0"/>
                <w:sz w:val="40"/>
                <w:szCs w:val="40"/>
              </w:rPr>
              <w:t xml:space="preserve">pháp luật kinh doanh bảo hiểm </w:t>
            </w:r>
            <w:r w:rsidR="00EC095F">
              <w:rPr>
                <w:rFonts w:ascii="Times New Roman" w:hAnsi="Times New Roman" w:cs="Times New Roman"/>
                <w:b/>
                <w:color w:val="0070C0"/>
                <w:sz w:val="40"/>
                <w:szCs w:val="40"/>
              </w:rPr>
              <w:t>trong</w:t>
            </w:r>
            <w:r w:rsidR="00EC095F">
              <w:rPr>
                <w:rFonts w:ascii="Times New Roman" w:hAnsi="Times New Roman" w:cs="Times New Roman"/>
                <w:b/>
                <w:color w:val="0070C0"/>
                <w:sz w:val="40"/>
                <w:szCs w:val="40"/>
              </w:rPr>
              <w:br/>
              <w:t xml:space="preserve">lĩnh vực bảo hiểm </w:t>
            </w:r>
            <w:r w:rsidR="003C756C">
              <w:rPr>
                <w:rFonts w:ascii="Times New Roman" w:hAnsi="Times New Roman" w:cs="Times New Roman"/>
                <w:b/>
                <w:color w:val="0070C0"/>
                <w:sz w:val="40"/>
                <w:szCs w:val="40"/>
              </w:rPr>
              <w:t xml:space="preserve">phi </w:t>
            </w:r>
            <w:r w:rsidR="00EC095F">
              <w:rPr>
                <w:rFonts w:ascii="Times New Roman" w:hAnsi="Times New Roman" w:cs="Times New Roman"/>
                <w:b/>
                <w:color w:val="0070C0"/>
                <w:sz w:val="40"/>
                <w:szCs w:val="40"/>
              </w:rPr>
              <w:t>nhân thọ</w:t>
            </w:r>
          </w:p>
          <w:p w:rsidR="00105AD7" w:rsidRDefault="00105AD7" w:rsidP="00D36B6C"/>
        </w:tc>
      </w:tr>
      <w:tr w:rsidR="00E614B7" w:rsidTr="00365E90">
        <w:trPr>
          <w:trHeight w:val="4706"/>
        </w:trPr>
        <w:tc>
          <w:tcPr>
            <w:tcW w:w="5778" w:type="dxa"/>
            <w:tcBorders>
              <w:top w:val="single" w:sz="4" w:space="0" w:color="auto"/>
              <w:bottom w:val="nil"/>
              <w:right w:val="nil"/>
            </w:tcBorders>
          </w:tcPr>
          <w:p w:rsidR="003C756C" w:rsidRPr="006D120B" w:rsidRDefault="00E614B7" w:rsidP="007F07FB">
            <w:pPr>
              <w:spacing w:before="240" w:after="120"/>
              <w:rPr>
                <w:rFonts w:ascii="Times New Roman" w:hAnsi="Times New Roman" w:cs="Times New Roman"/>
                <w:b/>
                <w:sz w:val="26"/>
                <w:szCs w:val="26"/>
              </w:rPr>
            </w:pPr>
            <w:r w:rsidRPr="006D120B">
              <w:rPr>
                <w:rFonts w:ascii="Times New Roman" w:hAnsi="Times New Roman" w:cs="Times New Roman"/>
                <w:b/>
                <w:sz w:val="26"/>
                <w:szCs w:val="26"/>
              </w:rPr>
              <w:t>Th</w:t>
            </w:r>
            <w:r w:rsidRPr="006D120B">
              <w:rPr>
                <w:rFonts w:ascii="Times New Roman" w:hAnsi="Times New Roman" w:cs="Times New Roman"/>
                <w:b/>
                <w:sz w:val="26"/>
                <w:szCs w:val="26"/>
                <w:lang w:val="vi-VN"/>
              </w:rPr>
              <w:t>ời gian</w:t>
            </w:r>
            <w:r w:rsidR="003C756C" w:rsidRPr="006D120B">
              <w:rPr>
                <w:rFonts w:ascii="Times New Roman" w:hAnsi="Times New Roman" w:cs="Times New Roman"/>
                <w:b/>
                <w:sz w:val="26"/>
                <w:szCs w:val="26"/>
              </w:rPr>
              <w:t xml:space="preserve"> và địa điểm:</w:t>
            </w:r>
          </w:p>
          <w:p w:rsidR="003C756C" w:rsidRPr="006D120B" w:rsidRDefault="003C756C" w:rsidP="003C756C">
            <w:pPr>
              <w:tabs>
                <w:tab w:val="left" w:pos="567"/>
              </w:tabs>
              <w:spacing w:line="300" w:lineRule="exact"/>
              <w:jc w:val="both"/>
              <w:rPr>
                <w:rFonts w:ascii="Times New Roman" w:hAnsi="Times New Roman" w:cs="Times New Roman"/>
                <w:sz w:val="26"/>
                <w:szCs w:val="26"/>
              </w:rPr>
            </w:pPr>
            <w:r w:rsidRPr="006D120B">
              <w:rPr>
                <w:rFonts w:ascii="Times New Roman" w:hAnsi="Times New Roman" w:cs="Times New Roman"/>
                <w:sz w:val="26"/>
                <w:szCs w:val="26"/>
              </w:rPr>
              <w:t xml:space="preserve">- </w:t>
            </w:r>
            <w:r w:rsidR="006D120B" w:rsidRPr="006D120B">
              <w:rPr>
                <w:rFonts w:ascii="Times New Roman" w:hAnsi="Times New Roman" w:cs="Times New Roman"/>
                <w:sz w:val="26"/>
                <w:szCs w:val="26"/>
              </w:rPr>
              <w:t>N</w:t>
            </w:r>
            <w:r w:rsidRPr="006D120B">
              <w:rPr>
                <w:rFonts w:ascii="Times New Roman" w:hAnsi="Times New Roman" w:cs="Times New Roman"/>
                <w:sz w:val="26"/>
                <w:szCs w:val="26"/>
              </w:rPr>
              <w:t>gày 22, 23/8/2017</w:t>
            </w:r>
            <w:r w:rsidR="006D120B" w:rsidRPr="006D120B">
              <w:rPr>
                <w:rFonts w:ascii="Times New Roman" w:hAnsi="Times New Roman" w:cs="Times New Roman"/>
                <w:sz w:val="26"/>
                <w:szCs w:val="26"/>
              </w:rPr>
              <w:t xml:space="preserve"> tại Tp. Hồ Chí Minh; </w:t>
            </w:r>
          </w:p>
          <w:p w:rsidR="003C756C" w:rsidRPr="006D120B" w:rsidRDefault="003C756C" w:rsidP="003C756C">
            <w:pPr>
              <w:tabs>
                <w:tab w:val="left" w:pos="567"/>
              </w:tabs>
              <w:spacing w:line="300" w:lineRule="exact"/>
              <w:jc w:val="both"/>
              <w:rPr>
                <w:rFonts w:ascii="Times New Roman" w:hAnsi="Times New Roman" w:cs="Times New Roman"/>
                <w:sz w:val="26"/>
                <w:szCs w:val="26"/>
              </w:rPr>
            </w:pPr>
            <w:r w:rsidRPr="006D120B">
              <w:rPr>
                <w:rFonts w:ascii="Times New Roman" w:hAnsi="Times New Roman" w:cs="Times New Roman"/>
                <w:sz w:val="26"/>
                <w:szCs w:val="26"/>
              </w:rPr>
              <w:t xml:space="preserve">- </w:t>
            </w:r>
            <w:r w:rsidR="006D120B" w:rsidRPr="006D120B">
              <w:rPr>
                <w:rFonts w:ascii="Times New Roman" w:hAnsi="Times New Roman" w:cs="Times New Roman"/>
                <w:sz w:val="26"/>
                <w:szCs w:val="26"/>
              </w:rPr>
              <w:t>N</w:t>
            </w:r>
            <w:r w:rsidRPr="006D120B">
              <w:rPr>
                <w:rFonts w:ascii="Times New Roman" w:hAnsi="Times New Roman" w:cs="Times New Roman"/>
                <w:sz w:val="26"/>
                <w:szCs w:val="26"/>
              </w:rPr>
              <w:t xml:space="preserve">gày 25, 26/8/2017 </w:t>
            </w:r>
            <w:r w:rsidR="006D120B" w:rsidRPr="006D120B">
              <w:rPr>
                <w:rFonts w:ascii="Times New Roman" w:hAnsi="Times New Roman" w:cs="Times New Roman"/>
                <w:sz w:val="26"/>
                <w:szCs w:val="26"/>
              </w:rPr>
              <w:t>tại Hà Nội.</w:t>
            </w:r>
          </w:p>
          <w:p w:rsidR="00E614B7" w:rsidRPr="006D120B" w:rsidRDefault="00E614B7" w:rsidP="006D120B">
            <w:pPr>
              <w:spacing w:before="240" w:after="120"/>
              <w:rPr>
                <w:rFonts w:ascii="Times New Roman" w:hAnsi="Times New Roman" w:cs="Times New Roman"/>
                <w:b/>
                <w:sz w:val="26"/>
                <w:szCs w:val="26"/>
              </w:rPr>
            </w:pPr>
            <w:r w:rsidRPr="006D120B">
              <w:rPr>
                <w:rFonts w:ascii="Times New Roman" w:hAnsi="Times New Roman" w:cs="Times New Roman"/>
                <w:b/>
                <w:sz w:val="26"/>
                <w:szCs w:val="26"/>
              </w:rPr>
              <w:t>Nội dung khóa học</w:t>
            </w:r>
          </w:p>
          <w:p w:rsidR="003C756C" w:rsidRPr="006D120B" w:rsidRDefault="003C756C" w:rsidP="003C756C">
            <w:pPr>
              <w:spacing w:line="276" w:lineRule="auto"/>
              <w:ind w:left="33"/>
              <w:contextualSpacing/>
              <w:jc w:val="both"/>
              <w:rPr>
                <w:rFonts w:ascii="Times New Roman" w:hAnsi="Times New Roman" w:cs="Times New Roman"/>
                <w:sz w:val="26"/>
                <w:szCs w:val="26"/>
              </w:rPr>
            </w:pPr>
            <w:r w:rsidRPr="006D120B">
              <w:rPr>
                <w:rFonts w:ascii="Times New Roman" w:hAnsi="Times New Roman" w:cs="Times New Roman"/>
                <w:sz w:val="26"/>
                <w:szCs w:val="26"/>
              </w:rPr>
              <w:t>- Lý luận pháp lý về kinh doanh bảo hiểm và hợp đồng bảo hiểm;</w:t>
            </w:r>
          </w:p>
          <w:p w:rsidR="003C756C" w:rsidRPr="006D120B" w:rsidRDefault="003C756C" w:rsidP="003C756C">
            <w:pPr>
              <w:jc w:val="both"/>
              <w:rPr>
                <w:rFonts w:ascii="Times New Roman" w:hAnsi="Times New Roman" w:cs="Times New Roman"/>
                <w:sz w:val="26"/>
                <w:szCs w:val="26"/>
              </w:rPr>
            </w:pPr>
            <w:r w:rsidRPr="006D120B">
              <w:rPr>
                <w:rFonts w:ascii="Times New Roman" w:hAnsi="Times New Roman" w:cs="Times New Roman"/>
                <w:sz w:val="26"/>
                <w:szCs w:val="26"/>
              </w:rPr>
              <w:t>- Kết hợp giữa lý luận về kinh doanh bảo hiểm và quy định pháp luật về kinh doanh bảo hiểm, hợp đồng bảo hiể</w:t>
            </w:r>
            <w:r w:rsidR="00986D3C">
              <w:rPr>
                <w:rFonts w:ascii="Times New Roman" w:hAnsi="Times New Roman" w:cs="Times New Roman"/>
                <w:sz w:val="26"/>
                <w:szCs w:val="26"/>
              </w:rPr>
              <w:t>m;</w:t>
            </w:r>
          </w:p>
          <w:p w:rsidR="003C756C" w:rsidRPr="006D120B" w:rsidRDefault="003C756C" w:rsidP="003C756C">
            <w:pPr>
              <w:jc w:val="both"/>
              <w:rPr>
                <w:rFonts w:ascii="Times New Roman" w:hAnsi="Times New Roman" w:cs="Times New Roman"/>
                <w:sz w:val="26"/>
                <w:szCs w:val="26"/>
              </w:rPr>
            </w:pPr>
            <w:r w:rsidRPr="006D120B">
              <w:rPr>
                <w:rFonts w:ascii="Times New Roman" w:eastAsia="Times New Roman" w:hAnsi="Times New Roman" w:cs="Times New Roman"/>
                <w:sz w:val="26"/>
                <w:szCs w:val="26"/>
              </w:rPr>
              <w:t xml:space="preserve">- </w:t>
            </w:r>
            <w:r w:rsidRPr="006D120B">
              <w:rPr>
                <w:rFonts w:ascii="Times New Roman" w:hAnsi="Times New Roman" w:cs="Times New Roman"/>
                <w:sz w:val="26"/>
                <w:szCs w:val="26"/>
              </w:rPr>
              <w:t>Những nội dung cơ bản của Luật Kinh doanh bảo hiểm, Luật sửa đổi, bổ sung một số điều Luật Kinh doanh bảo hiểm, Nghị định 73/2016/</w:t>
            </w:r>
            <w:r w:rsidR="00986D3C">
              <w:rPr>
                <w:rFonts w:ascii="Times New Roman" w:hAnsi="Times New Roman" w:cs="Times New Roman"/>
                <w:sz w:val="26"/>
                <w:szCs w:val="26"/>
              </w:rPr>
              <w:t>NĐ-CP, Thông tư 50/2017/TT-BTC);</w:t>
            </w:r>
            <w:bookmarkStart w:id="0" w:name="_GoBack"/>
            <w:bookmarkEnd w:id="0"/>
          </w:p>
          <w:p w:rsidR="003C756C" w:rsidRPr="006D120B" w:rsidRDefault="003C756C" w:rsidP="003C756C">
            <w:pPr>
              <w:jc w:val="both"/>
              <w:rPr>
                <w:rFonts w:ascii="Times New Roman" w:eastAsia="Times New Roman" w:hAnsi="Times New Roman" w:cs="Times New Roman"/>
                <w:sz w:val="26"/>
                <w:szCs w:val="26"/>
              </w:rPr>
            </w:pPr>
            <w:r w:rsidRPr="006D120B">
              <w:rPr>
                <w:rFonts w:ascii="Times New Roman" w:hAnsi="Times New Roman" w:cs="Times New Roman"/>
                <w:sz w:val="26"/>
                <w:szCs w:val="26"/>
              </w:rPr>
              <w:t>- Giải đáp thắc mắc, làm rõ những vướng mắ</w:t>
            </w:r>
            <w:r w:rsidR="00986D3C">
              <w:rPr>
                <w:rFonts w:ascii="Times New Roman" w:hAnsi="Times New Roman" w:cs="Times New Roman"/>
                <w:sz w:val="26"/>
                <w:szCs w:val="26"/>
              </w:rPr>
              <w:t>c</w:t>
            </w:r>
            <w:r w:rsidRPr="006D120B">
              <w:rPr>
                <w:rFonts w:ascii="Times New Roman" w:hAnsi="Times New Roman" w:cs="Times New Roman"/>
                <w:sz w:val="26"/>
                <w:szCs w:val="26"/>
              </w:rPr>
              <w:t xml:space="preserve"> </w:t>
            </w:r>
            <w:r w:rsidR="00986D3C">
              <w:rPr>
                <w:rFonts w:ascii="Times New Roman" w:hAnsi="Times New Roman" w:cs="Times New Roman"/>
                <w:sz w:val="26"/>
                <w:szCs w:val="26"/>
              </w:rPr>
              <w:t xml:space="preserve">trong </w:t>
            </w:r>
            <w:r w:rsidRPr="006D120B">
              <w:rPr>
                <w:rFonts w:ascii="Times New Roman" w:hAnsi="Times New Roman" w:cs="Times New Roman"/>
                <w:sz w:val="26"/>
                <w:szCs w:val="26"/>
              </w:rPr>
              <w:t xml:space="preserve">triển khai thực hiện các quy định mới của pháp luật về hoạt động kinh doanh bảo hiểm phi nhân thọ. </w:t>
            </w:r>
          </w:p>
          <w:p w:rsidR="00365E90" w:rsidRPr="006D120B" w:rsidRDefault="00365E90" w:rsidP="007F07FB">
            <w:pPr>
              <w:spacing w:before="120" w:after="120"/>
              <w:rPr>
                <w:rFonts w:ascii="Times New Roman" w:hAnsi="Times New Roman" w:cs="Times New Roman"/>
                <w:b/>
                <w:sz w:val="26"/>
                <w:szCs w:val="26"/>
              </w:rPr>
            </w:pPr>
            <w:r w:rsidRPr="006D120B">
              <w:rPr>
                <w:rFonts w:ascii="Times New Roman" w:hAnsi="Times New Roman" w:cs="Times New Roman"/>
                <w:b/>
                <w:sz w:val="26"/>
                <w:szCs w:val="26"/>
              </w:rPr>
              <w:t>Mục tiêu khóa học</w:t>
            </w:r>
          </w:p>
          <w:p w:rsidR="00365E90" w:rsidRPr="006D120B" w:rsidRDefault="00365E90" w:rsidP="007C5F76">
            <w:pPr>
              <w:jc w:val="both"/>
              <w:rPr>
                <w:rFonts w:ascii="Times New Roman" w:eastAsia="Batang" w:hAnsi="Times New Roman" w:cs="Times New Roman"/>
                <w:sz w:val="26"/>
                <w:szCs w:val="26"/>
                <w:lang w:eastAsia="ko-KR"/>
              </w:rPr>
            </w:pPr>
            <w:r w:rsidRPr="006D120B">
              <w:rPr>
                <w:rFonts w:ascii="Times New Roman" w:eastAsia="Batang" w:hAnsi="Times New Roman" w:cs="Times New Roman"/>
                <w:sz w:val="26"/>
                <w:szCs w:val="26"/>
                <w:lang w:eastAsia="ko-KR"/>
              </w:rPr>
              <w:t>- T</w:t>
            </w:r>
            <w:r w:rsidRPr="006D120B">
              <w:rPr>
                <w:rFonts w:ascii="Times New Roman" w:eastAsia="Batang" w:hAnsi="Times New Roman" w:cs="Times New Roman"/>
                <w:sz w:val="26"/>
                <w:szCs w:val="26"/>
                <w:lang w:val="vi-VN" w:eastAsia="ko-KR"/>
              </w:rPr>
              <w:t xml:space="preserve">rang bị các kiến thức nền tảng về </w:t>
            </w:r>
            <w:r w:rsidRPr="006D120B">
              <w:rPr>
                <w:rFonts w:ascii="Times New Roman" w:eastAsia="Batang" w:hAnsi="Times New Roman" w:cs="Times New Roman"/>
                <w:sz w:val="26"/>
                <w:szCs w:val="26"/>
                <w:lang w:eastAsia="ko-KR"/>
              </w:rPr>
              <w:t xml:space="preserve">pháp luật kinh doanh bảo hiểm trong bảo hiểm </w:t>
            </w:r>
            <w:r w:rsidR="003C756C" w:rsidRPr="006D120B">
              <w:rPr>
                <w:rFonts w:ascii="Times New Roman" w:eastAsia="Batang" w:hAnsi="Times New Roman" w:cs="Times New Roman"/>
                <w:sz w:val="26"/>
                <w:szCs w:val="26"/>
                <w:lang w:eastAsia="ko-KR"/>
              </w:rPr>
              <w:t xml:space="preserve">phi </w:t>
            </w:r>
            <w:r w:rsidRPr="006D120B">
              <w:rPr>
                <w:rFonts w:ascii="Times New Roman" w:eastAsia="Batang" w:hAnsi="Times New Roman" w:cs="Times New Roman"/>
                <w:sz w:val="26"/>
                <w:szCs w:val="26"/>
                <w:lang w:eastAsia="ko-KR"/>
              </w:rPr>
              <w:t>nhân thọ;</w:t>
            </w:r>
          </w:p>
          <w:p w:rsidR="00365E90" w:rsidRPr="006D120B" w:rsidRDefault="00365E90" w:rsidP="007C5F76">
            <w:pPr>
              <w:jc w:val="both"/>
              <w:rPr>
                <w:rFonts w:ascii="Times New Roman" w:eastAsia="Batang" w:hAnsi="Times New Roman" w:cs="Times New Roman"/>
                <w:sz w:val="26"/>
                <w:szCs w:val="26"/>
                <w:lang w:eastAsia="ko-KR"/>
              </w:rPr>
            </w:pPr>
            <w:r w:rsidRPr="006D120B">
              <w:rPr>
                <w:rFonts w:ascii="Times New Roman" w:eastAsia="Batang" w:hAnsi="Times New Roman" w:cs="Times New Roman"/>
                <w:sz w:val="26"/>
                <w:szCs w:val="26"/>
                <w:lang w:eastAsia="ko-KR"/>
              </w:rPr>
              <w:t xml:space="preserve">- Cập nhật nội dung mới về pháp luật kinh doanh bảo hiểm liên quan đến </w:t>
            </w:r>
            <w:r w:rsidR="003C756C" w:rsidRPr="006D120B">
              <w:rPr>
                <w:rFonts w:ascii="Times New Roman" w:eastAsia="Batang" w:hAnsi="Times New Roman" w:cs="Times New Roman"/>
                <w:sz w:val="26"/>
                <w:szCs w:val="26"/>
                <w:lang w:eastAsia="ko-KR"/>
              </w:rPr>
              <w:t xml:space="preserve">bảo </w:t>
            </w:r>
            <w:r w:rsidRPr="006D120B">
              <w:rPr>
                <w:rFonts w:ascii="Times New Roman" w:eastAsia="Batang" w:hAnsi="Times New Roman" w:cs="Times New Roman"/>
                <w:sz w:val="26"/>
                <w:szCs w:val="26"/>
                <w:lang w:eastAsia="ko-KR"/>
              </w:rPr>
              <w:t xml:space="preserve">hiểm </w:t>
            </w:r>
            <w:r w:rsidR="003C756C" w:rsidRPr="006D120B">
              <w:rPr>
                <w:rFonts w:ascii="Times New Roman" w:eastAsia="Batang" w:hAnsi="Times New Roman" w:cs="Times New Roman"/>
                <w:sz w:val="26"/>
                <w:szCs w:val="26"/>
                <w:lang w:eastAsia="ko-KR"/>
              </w:rPr>
              <w:t xml:space="preserve">phi </w:t>
            </w:r>
            <w:r w:rsidRPr="006D120B">
              <w:rPr>
                <w:rFonts w:ascii="Times New Roman" w:eastAsia="Batang" w:hAnsi="Times New Roman" w:cs="Times New Roman"/>
                <w:sz w:val="26"/>
                <w:szCs w:val="26"/>
                <w:lang w:eastAsia="ko-KR"/>
              </w:rPr>
              <w:t>nhân thọ</w:t>
            </w:r>
            <w:r w:rsidR="007C5F76" w:rsidRPr="006D120B">
              <w:rPr>
                <w:rFonts w:ascii="Times New Roman" w:eastAsia="Batang" w:hAnsi="Times New Roman" w:cs="Times New Roman"/>
                <w:sz w:val="26"/>
                <w:szCs w:val="26"/>
                <w:lang w:eastAsia="ko-KR"/>
              </w:rPr>
              <w:t>;</w:t>
            </w:r>
          </w:p>
          <w:p w:rsidR="003C756C" w:rsidRPr="006D120B" w:rsidRDefault="003C756C" w:rsidP="007C5F76">
            <w:pPr>
              <w:jc w:val="both"/>
              <w:rPr>
                <w:rFonts w:ascii="Times New Roman" w:eastAsia="Batang" w:hAnsi="Times New Roman" w:cs="Times New Roman"/>
                <w:sz w:val="26"/>
                <w:szCs w:val="26"/>
                <w:lang w:eastAsia="ko-KR"/>
              </w:rPr>
            </w:pPr>
            <w:r w:rsidRPr="006D120B">
              <w:rPr>
                <w:rFonts w:ascii="Times New Roman" w:eastAsia="Batang" w:hAnsi="Times New Roman" w:cs="Times New Roman"/>
                <w:sz w:val="26"/>
                <w:szCs w:val="26"/>
                <w:lang w:eastAsia="ko-KR"/>
              </w:rPr>
              <w:t>- Phân tích và dự báo những tác động của quy định mới tới hoạt động kinh doanh bảo hiểm;</w:t>
            </w:r>
          </w:p>
          <w:p w:rsidR="00365E90" w:rsidRPr="006D120B" w:rsidRDefault="00365E90" w:rsidP="007C5F76">
            <w:pPr>
              <w:jc w:val="both"/>
              <w:rPr>
                <w:rFonts w:ascii="Times New Roman" w:eastAsia="Batang" w:hAnsi="Times New Roman" w:cs="Times New Roman"/>
                <w:sz w:val="26"/>
                <w:szCs w:val="26"/>
                <w:lang w:eastAsia="ko-KR"/>
              </w:rPr>
            </w:pPr>
            <w:r w:rsidRPr="006D120B">
              <w:rPr>
                <w:rFonts w:ascii="Times New Roman" w:eastAsia="Batang" w:hAnsi="Times New Roman" w:cs="Times New Roman"/>
                <w:sz w:val="26"/>
                <w:szCs w:val="26"/>
                <w:lang w:eastAsia="ko-KR"/>
              </w:rPr>
              <w:t xml:space="preserve">- Giải đáp các thắc mắc, tạo thuận lợi trong triển khai thực hiện các </w:t>
            </w:r>
            <w:r w:rsidR="00986D3C">
              <w:rPr>
                <w:rFonts w:ascii="Times New Roman" w:eastAsia="Batang" w:hAnsi="Times New Roman" w:cs="Times New Roman"/>
                <w:sz w:val="26"/>
                <w:szCs w:val="26"/>
                <w:lang w:eastAsia="ko-KR"/>
              </w:rPr>
              <w:t>quy định mới của pháp luật</w:t>
            </w:r>
            <w:r w:rsidRPr="006D120B">
              <w:rPr>
                <w:rFonts w:ascii="Times New Roman" w:eastAsia="Batang" w:hAnsi="Times New Roman" w:cs="Times New Roman"/>
                <w:sz w:val="26"/>
                <w:szCs w:val="26"/>
                <w:lang w:eastAsia="ko-KR"/>
              </w:rPr>
              <w:t>.</w:t>
            </w:r>
          </w:p>
          <w:p w:rsidR="00365E90" w:rsidRPr="006D120B" w:rsidRDefault="00365E90" w:rsidP="007F07FB">
            <w:pPr>
              <w:spacing w:before="120" w:after="120"/>
              <w:rPr>
                <w:rFonts w:ascii="Times New Roman" w:hAnsi="Times New Roman" w:cs="Times New Roman"/>
                <w:b/>
                <w:sz w:val="26"/>
                <w:szCs w:val="26"/>
              </w:rPr>
            </w:pPr>
            <w:r w:rsidRPr="006D120B">
              <w:rPr>
                <w:rFonts w:ascii="Times New Roman" w:hAnsi="Times New Roman" w:cs="Times New Roman"/>
                <w:b/>
                <w:sz w:val="26"/>
                <w:szCs w:val="26"/>
              </w:rPr>
              <w:t>Đối tượng học viên</w:t>
            </w:r>
          </w:p>
          <w:p w:rsidR="00EC095F" w:rsidRPr="006D120B" w:rsidRDefault="00EC095F" w:rsidP="003C756C">
            <w:pPr>
              <w:jc w:val="both"/>
              <w:rPr>
                <w:rFonts w:ascii="Times New Roman" w:hAnsi="Times New Roman" w:cs="Times New Roman"/>
                <w:sz w:val="26"/>
                <w:szCs w:val="26"/>
              </w:rPr>
            </w:pPr>
            <w:r w:rsidRPr="006D120B">
              <w:rPr>
                <w:rFonts w:ascii="Times New Roman" w:hAnsi="Times New Roman" w:cs="Times New Roman"/>
                <w:sz w:val="26"/>
                <w:szCs w:val="26"/>
              </w:rPr>
              <w:t xml:space="preserve">- </w:t>
            </w:r>
            <w:r w:rsidR="003C756C" w:rsidRPr="006D120B">
              <w:rPr>
                <w:rFonts w:ascii="Times New Roman" w:hAnsi="Times New Roman" w:cs="Times New Roman"/>
                <w:sz w:val="26"/>
                <w:szCs w:val="26"/>
              </w:rPr>
              <w:t>Cán bộ các doanh nghiệp bảo hiểm</w:t>
            </w:r>
            <w:r w:rsidR="00761538" w:rsidRPr="006D120B">
              <w:rPr>
                <w:rFonts w:ascii="Times New Roman" w:hAnsi="Times New Roman" w:cs="Times New Roman"/>
                <w:sz w:val="26"/>
                <w:szCs w:val="26"/>
              </w:rPr>
              <w:t xml:space="preserve"> phi nhân thọ</w:t>
            </w:r>
            <w:r w:rsidR="00986D3C">
              <w:rPr>
                <w:rFonts w:ascii="Times New Roman" w:hAnsi="Times New Roman" w:cs="Times New Roman"/>
                <w:sz w:val="26"/>
                <w:szCs w:val="26"/>
              </w:rPr>
              <w:t>;</w:t>
            </w:r>
          </w:p>
          <w:p w:rsidR="00E614B7" w:rsidRPr="006D120B" w:rsidRDefault="00EC095F" w:rsidP="00570CE9">
            <w:pPr>
              <w:spacing w:after="240"/>
              <w:jc w:val="both"/>
              <w:rPr>
                <w:rFonts w:ascii="Times New Roman" w:eastAsia="Times New Roman" w:hAnsi="Times New Roman" w:cs="Times New Roman"/>
                <w:sz w:val="26"/>
                <w:szCs w:val="26"/>
              </w:rPr>
            </w:pPr>
            <w:r w:rsidRPr="006D120B">
              <w:rPr>
                <w:rFonts w:ascii="Times New Roman" w:hAnsi="Times New Roman" w:cs="Times New Roman"/>
                <w:sz w:val="26"/>
                <w:szCs w:val="26"/>
              </w:rPr>
              <w:t>- C</w:t>
            </w:r>
            <w:r w:rsidR="00365E90" w:rsidRPr="006D120B">
              <w:rPr>
                <w:rFonts w:ascii="Times New Roman" w:eastAsia="Times New Roman" w:hAnsi="Times New Roman" w:cs="Times New Roman"/>
                <w:sz w:val="26"/>
                <w:szCs w:val="26"/>
              </w:rPr>
              <w:t>ác</w:t>
            </w:r>
            <w:r w:rsidR="00365E90" w:rsidRPr="006D120B">
              <w:rPr>
                <w:rFonts w:eastAsia="Times New Roman"/>
                <w:sz w:val="26"/>
                <w:szCs w:val="26"/>
              </w:rPr>
              <w:t xml:space="preserve"> </w:t>
            </w:r>
            <w:r w:rsidR="00365E90" w:rsidRPr="006D120B">
              <w:rPr>
                <w:rFonts w:ascii="Times New Roman" w:eastAsia="Times New Roman" w:hAnsi="Times New Roman" w:cs="Times New Roman"/>
                <w:sz w:val="26"/>
                <w:szCs w:val="26"/>
              </w:rPr>
              <w:t>cá nhân quan tâm tới chương trình đào tạo pháp luật kinh doanh bảo hiểm</w:t>
            </w:r>
            <w:r w:rsidRPr="006D120B">
              <w:rPr>
                <w:rFonts w:ascii="Times New Roman" w:eastAsia="Times New Roman" w:hAnsi="Times New Roman" w:cs="Times New Roman"/>
                <w:sz w:val="26"/>
                <w:szCs w:val="26"/>
              </w:rPr>
              <w:t xml:space="preserve"> </w:t>
            </w:r>
            <w:r w:rsidR="003C756C" w:rsidRPr="006D120B">
              <w:rPr>
                <w:rFonts w:ascii="Times New Roman" w:eastAsia="Times New Roman" w:hAnsi="Times New Roman" w:cs="Times New Roman"/>
                <w:sz w:val="26"/>
                <w:szCs w:val="26"/>
              </w:rPr>
              <w:t xml:space="preserve">phi </w:t>
            </w:r>
            <w:r w:rsidRPr="006D120B">
              <w:rPr>
                <w:rFonts w:ascii="Times New Roman" w:eastAsia="Times New Roman" w:hAnsi="Times New Roman" w:cs="Times New Roman"/>
                <w:sz w:val="26"/>
                <w:szCs w:val="26"/>
              </w:rPr>
              <w:t>nhân thọ</w:t>
            </w:r>
            <w:r w:rsidR="00365E90" w:rsidRPr="006D120B">
              <w:rPr>
                <w:rFonts w:ascii="Times New Roman" w:eastAsia="Times New Roman" w:hAnsi="Times New Roman" w:cs="Times New Roman"/>
                <w:sz w:val="26"/>
                <w:szCs w:val="26"/>
              </w:rPr>
              <w:t>.</w:t>
            </w:r>
          </w:p>
        </w:tc>
        <w:tc>
          <w:tcPr>
            <w:tcW w:w="281" w:type="dxa"/>
            <w:tcBorders>
              <w:top w:val="single" w:sz="4" w:space="0" w:color="auto"/>
              <w:left w:val="nil"/>
              <w:bottom w:val="nil"/>
              <w:right w:val="nil"/>
            </w:tcBorders>
            <w:shd w:val="clear" w:color="auto" w:fill="auto"/>
          </w:tcPr>
          <w:p w:rsidR="00E614B7" w:rsidRPr="006D120B" w:rsidRDefault="00E614B7" w:rsidP="00D36B6C">
            <w:pPr>
              <w:rPr>
                <w:sz w:val="26"/>
                <w:szCs w:val="26"/>
              </w:rPr>
            </w:pPr>
          </w:p>
        </w:tc>
        <w:tc>
          <w:tcPr>
            <w:tcW w:w="4681" w:type="dxa"/>
            <w:tcBorders>
              <w:top w:val="single" w:sz="4" w:space="0" w:color="auto"/>
              <w:left w:val="nil"/>
            </w:tcBorders>
            <w:shd w:val="clear" w:color="auto" w:fill="auto"/>
          </w:tcPr>
          <w:p w:rsidR="003C756C" w:rsidRPr="006D120B" w:rsidRDefault="003C756C" w:rsidP="007F07FB">
            <w:pPr>
              <w:spacing w:before="240"/>
              <w:rPr>
                <w:rFonts w:ascii="Times New Roman" w:hAnsi="Times New Roman" w:cs="Times New Roman"/>
                <w:b/>
                <w:sz w:val="26"/>
                <w:szCs w:val="26"/>
              </w:rPr>
            </w:pPr>
            <w:r w:rsidRPr="006D120B">
              <w:rPr>
                <w:rFonts w:ascii="Times New Roman" w:hAnsi="Times New Roman" w:cs="Times New Roman"/>
                <w:b/>
                <w:sz w:val="26"/>
                <w:szCs w:val="26"/>
              </w:rPr>
              <w:t>Kết quả đào tạo</w:t>
            </w:r>
          </w:p>
          <w:p w:rsidR="003C756C" w:rsidRPr="006D120B" w:rsidRDefault="003C756C" w:rsidP="007F07FB">
            <w:pPr>
              <w:spacing w:before="120" w:after="60"/>
              <w:jc w:val="both"/>
              <w:rPr>
                <w:rFonts w:ascii="Times New Roman" w:hAnsi="Times New Roman" w:cs="Times New Roman"/>
                <w:b/>
                <w:sz w:val="26"/>
                <w:szCs w:val="26"/>
              </w:rPr>
            </w:pPr>
            <w:r w:rsidRPr="006D120B">
              <w:rPr>
                <w:rFonts w:ascii="Times New Roman" w:hAnsi="Times New Roman" w:cs="Times New Roman"/>
                <w:sz w:val="26"/>
                <w:szCs w:val="26"/>
              </w:rPr>
              <w:t xml:space="preserve">Học viên đủ điều kiện sẽ được IRT cấp Chứng nhận hoàn thành khóa đào tạo pháp luật kinh doanh bảo hiểm trong lĩnh vực bảo hiểm </w:t>
            </w:r>
            <w:r w:rsidR="00B43A91" w:rsidRPr="006D120B">
              <w:rPr>
                <w:rFonts w:ascii="Times New Roman" w:hAnsi="Times New Roman" w:cs="Times New Roman"/>
                <w:sz w:val="26"/>
                <w:szCs w:val="26"/>
              </w:rPr>
              <w:t xml:space="preserve">phi </w:t>
            </w:r>
            <w:r w:rsidRPr="006D120B">
              <w:rPr>
                <w:rFonts w:ascii="Times New Roman" w:hAnsi="Times New Roman" w:cs="Times New Roman"/>
                <w:sz w:val="26"/>
                <w:szCs w:val="26"/>
              </w:rPr>
              <w:t xml:space="preserve">nhân thọ. </w:t>
            </w:r>
          </w:p>
          <w:p w:rsidR="00365E90" w:rsidRPr="006D120B" w:rsidRDefault="00365E90" w:rsidP="007F07FB">
            <w:pPr>
              <w:spacing w:before="120" w:after="120"/>
              <w:rPr>
                <w:rFonts w:ascii="Times New Roman" w:hAnsi="Times New Roman" w:cs="Times New Roman"/>
                <w:b/>
                <w:sz w:val="26"/>
                <w:szCs w:val="26"/>
              </w:rPr>
            </w:pPr>
            <w:r w:rsidRPr="006D120B">
              <w:rPr>
                <w:rFonts w:ascii="Times New Roman" w:hAnsi="Times New Roman" w:cs="Times New Roman"/>
                <w:b/>
                <w:sz w:val="26"/>
                <w:szCs w:val="26"/>
              </w:rPr>
              <w:t>Giảng viên</w:t>
            </w:r>
          </w:p>
          <w:p w:rsidR="00BC53C6" w:rsidRPr="006D120B" w:rsidRDefault="00365E90" w:rsidP="00867CB0">
            <w:pPr>
              <w:spacing w:after="120"/>
              <w:jc w:val="both"/>
              <w:rPr>
                <w:rFonts w:ascii="Times New Roman" w:eastAsia="Calibri" w:hAnsi="Times New Roman" w:cs="Times New Roman"/>
                <w:spacing w:val="-4"/>
                <w:sz w:val="26"/>
                <w:szCs w:val="26"/>
              </w:rPr>
            </w:pPr>
            <w:r w:rsidRPr="006D120B">
              <w:rPr>
                <w:rFonts w:ascii="Times New Roman" w:eastAsia="Calibri" w:hAnsi="Times New Roman" w:cs="Times New Roman"/>
                <w:b/>
                <w:spacing w:val="-4"/>
                <w:sz w:val="26"/>
                <w:szCs w:val="26"/>
              </w:rPr>
              <w:t>TS. Nguyễn Thị Thủy</w:t>
            </w:r>
            <w:r w:rsidRPr="006D120B">
              <w:rPr>
                <w:rFonts w:ascii="Times New Roman" w:eastAsia="Calibri" w:hAnsi="Times New Roman" w:cs="Times New Roman"/>
                <w:spacing w:val="-4"/>
                <w:sz w:val="26"/>
                <w:szCs w:val="26"/>
              </w:rPr>
              <w:t>, Tổ trưởng bộ môn Luật Tài chính – Ngân hàng, Khoa Luật Thương mại, Đại học Luật Tp. Hồ Chí Minh</w:t>
            </w:r>
            <w:r w:rsidR="00FC72AF" w:rsidRPr="006D120B">
              <w:rPr>
                <w:rFonts w:ascii="Times New Roman" w:eastAsia="Calibri" w:hAnsi="Times New Roman" w:cs="Times New Roman"/>
                <w:spacing w:val="-4"/>
                <w:sz w:val="26"/>
                <w:szCs w:val="26"/>
              </w:rPr>
              <w:t>.</w:t>
            </w:r>
            <w:r w:rsidRPr="006D120B">
              <w:rPr>
                <w:rFonts w:ascii="Times New Roman" w:eastAsia="Calibri" w:hAnsi="Times New Roman" w:cs="Times New Roman"/>
                <w:spacing w:val="-4"/>
                <w:sz w:val="26"/>
                <w:szCs w:val="26"/>
              </w:rPr>
              <w:t xml:space="preserve"> </w:t>
            </w:r>
          </w:p>
          <w:p w:rsidR="00EC095F" w:rsidRPr="006D120B" w:rsidRDefault="00EC095F" w:rsidP="00BC53C6">
            <w:pPr>
              <w:jc w:val="both"/>
              <w:rPr>
                <w:rFonts w:ascii="Times New Roman" w:hAnsi="Times New Roman" w:cs="Times New Roman"/>
                <w:sz w:val="26"/>
                <w:szCs w:val="26"/>
              </w:rPr>
            </w:pPr>
            <w:r w:rsidRPr="006D120B">
              <w:rPr>
                <w:rFonts w:ascii="Times New Roman" w:hAnsi="Times New Roman" w:cs="Times New Roman"/>
                <w:sz w:val="26"/>
                <w:szCs w:val="26"/>
              </w:rPr>
              <w:t>Với hơn 20 năm kinh nghiệm giảng dạy tại Đại học Luật Tp. Hồ Chí Minh, Bà Thủy đã tham gia nghiên cứu các đề tài, xuất bản sách khoa học, các bài viết được đăng trên tạp chí uy tín về Luật Tài chính, Ngân hàng, Bảo hiểm.</w:t>
            </w:r>
          </w:p>
          <w:p w:rsidR="00EC095F" w:rsidRPr="006D120B" w:rsidRDefault="00EC095F" w:rsidP="00365E90">
            <w:pPr>
              <w:jc w:val="both"/>
              <w:rPr>
                <w:rFonts w:ascii="Times New Roman" w:eastAsia="Times New Roman" w:hAnsi="Times New Roman" w:cs="Times New Roman"/>
                <w:sz w:val="26"/>
                <w:szCs w:val="26"/>
              </w:rPr>
            </w:pPr>
          </w:p>
          <w:p w:rsidR="00E614B7" w:rsidRPr="006D120B" w:rsidRDefault="00B43A91" w:rsidP="00EC095F">
            <w:pPr>
              <w:jc w:val="both"/>
              <w:rPr>
                <w:rFonts w:ascii="Times New Roman" w:hAnsi="Times New Roman" w:cs="Times New Roman"/>
                <w:sz w:val="26"/>
                <w:szCs w:val="26"/>
              </w:rPr>
            </w:pPr>
            <w:r w:rsidRPr="006D120B">
              <w:rPr>
                <w:rFonts w:ascii="Times New Roman" w:eastAsia="Times New Roman" w:hAnsi="Times New Roman" w:cs="Times New Roman"/>
                <w:b/>
                <w:sz w:val="26"/>
                <w:szCs w:val="26"/>
              </w:rPr>
              <w:t xml:space="preserve">Lãnh đạo Phòng </w:t>
            </w:r>
            <w:r w:rsidR="006D120B">
              <w:rPr>
                <w:rFonts w:ascii="Times New Roman" w:eastAsia="Times New Roman" w:hAnsi="Times New Roman" w:cs="Times New Roman"/>
                <w:b/>
                <w:sz w:val="26"/>
                <w:szCs w:val="26"/>
              </w:rPr>
              <w:t>P</w:t>
            </w:r>
            <w:r w:rsidRPr="006D120B">
              <w:rPr>
                <w:rFonts w:ascii="Times New Roman" w:eastAsia="Times New Roman" w:hAnsi="Times New Roman" w:cs="Times New Roman"/>
                <w:b/>
                <w:sz w:val="26"/>
                <w:szCs w:val="26"/>
              </w:rPr>
              <w:t xml:space="preserve">hát triển thị trường và Phòng </w:t>
            </w:r>
            <w:r w:rsidR="006D120B">
              <w:rPr>
                <w:rFonts w:ascii="Times New Roman" w:eastAsia="Times New Roman" w:hAnsi="Times New Roman" w:cs="Times New Roman"/>
                <w:b/>
                <w:sz w:val="26"/>
                <w:szCs w:val="26"/>
              </w:rPr>
              <w:t>Q</w:t>
            </w:r>
            <w:r w:rsidRPr="006D120B">
              <w:rPr>
                <w:rFonts w:ascii="Times New Roman" w:eastAsia="Times New Roman" w:hAnsi="Times New Roman" w:cs="Times New Roman"/>
                <w:b/>
                <w:sz w:val="26"/>
                <w:szCs w:val="26"/>
              </w:rPr>
              <w:t>uản lý, giám sát bảo hiểm phi nhân thọ, Cục Quản lý, giám sát bảo hiểm, Bộ Tài chính</w:t>
            </w:r>
            <w:r w:rsidR="00E614B7" w:rsidRPr="006D120B">
              <w:rPr>
                <w:rFonts w:ascii="Times New Roman" w:hAnsi="Times New Roman" w:cs="Times New Roman"/>
                <w:sz w:val="26"/>
                <w:szCs w:val="26"/>
              </w:rPr>
              <w:t xml:space="preserve">. </w:t>
            </w:r>
          </w:p>
          <w:p w:rsidR="00E614B7" w:rsidRPr="006D120B" w:rsidRDefault="00E614B7" w:rsidP="003675A9">
            <w:pPr>
              <w:spacing w:before="240" w:after="60"/>
              <w:jc w:val="both"/>
              <w:rPr>
                <w:rFonts w:ascii="Times New Roman" w:hAnsi="Times New Roman" w:cs="Times New Roman"/>
                <w:sz w:val="26"/>
                <w:szCs w:val="26"/>
              </w:rPr>
            </w:pPr>
          </w:p>
        </w:tc>
      </w:tr>
      <w:tr w:rsidR="00105AD7" w:rsidTr="006D3A5C">
        <w:tc>
          <w:tcPr>
            <w:tcW w:w="10740" w:type="dxa"/>
            <w:gridSpan w:val="3"/>
            <w:shd w:val="clear" w:color="auto" w:fill="DBE5F1" w:themeFill="accent1" w:themeFillTint="33"/>
          </w:tcPr>
          <w:p w:rsidR="00150D8D" w:rsidRPr="00F463FB" w:rsidRDefault="00222D13" w:rsidP="005D7B2C">
            <w:pPr>
              <w:spacing w:before="240" w:after="240" w:line="276" w:lineRule="auto"/>
              <w:jc w:val="center"/>
              <w:rPr>
                <w:rFonts w:ascii="Times New Roman" w:hAnsi="Times New Roman" w:cs="Times New Roman"/>
                <w:u w:val="single"/>
              </w:rPr>
            </w:pPr>
            <w:r w:rsidRPr="008C7748">
              <w:rPr>
                <w:rFonts w:ascii="Times New Roman" w:hAnsi="Times New Roman" w:cs="Times New Roman"/>
              </w:rPr>
              <w:t xml:space="preserve">Để biết thêm thông tin, liên hệ </w:t>
            </w:r>
            <w:r>
              <w:rPr>
                <w:rFonts w:ascii="Times New Roman" w:hAnsi="Times New Roman" w:cs="Times New Roman"/>
              </w:rPr>
              <w:t>Anh</w:t>
            </w:r>
            <w:r w:rsidRPr="008C7748">
              <w:rPr>
                <w:rFonts w:ascii="Times New Roman" w:hAnsi="Times New Roman" w:cs="Times New Roman"/>
              </w:rPr>
              <w:t xml:space="preserve"> </w:t>
            </w:r>
            <w:r>
              <w:rPr>
                <w:rFonts w:ascii="Times New Roman" w:hAnsi="Times New Roman" w:cs="Times New Roman"/>
              </w:rPr>
              <w:t>Nguyễn Hoàng Long</w:t>
            </w:r>
            <w:r w:rsidRPr="008C7748">
              <w:rPr>
                <w:rFonts w:ascii="Times New Roman" w:hAnsi="Times New Roman" w:cs="Times New Roman"/>
              </w:rPr>
              <w:t xml:space="preserve"> - Điện thoại: </w:t>
            </w:r>
            <w:r>
              <w:rPr>
                <w:rFonts w:ascii="Times New Roman" w:hAnsi="Times New Roman" w:cs="Times New Roman"/>
              </w:rPr>
              <w:t>01239</w:t>
            </w:r>
            <w:r w:rsidR="00D14E31">
              <w:rPr>
                <w:rFonts w:ascii="Times New Roman" w:hAnsi="Times New Roman" w:cs="Times New Roman"/>
              </w:rPr>
              <w:t>.</w:t>
            </w:r>
            <w:r>
              <w:rPr>
                <w:rFonts w:ascii="Times New Roman" w:hAnsi="Times New Roman" w:cs="Times New Roman"/>
              </w:rPr>
              <w:t>808</w:t>
            </w:r>
            <w:r w:rsidR="00D14E31">
              <w:rPr>
                <w:rFonts w:ascii="Times New Roman" w:hAnsi="Times New Roman" w:cs="Times New Roman"/>
              </w:rPr>
              <w:t>.</w:t>
            </w:r>
            <w:r>
              <w:rPr>
                <w:rFonts w:ascii="Times New Roman" w:hAnsi="Times New Roman" w:cs="Times New Roman"/>
              </w:rPr>
              <w:t>777</w:t>
            </w:r>
            <w:r w:rsidRPr="008C7748">
              <w:rPr>
                <w:rFonts w:ascii="Times New Roman" w:hAnsi="Times New Roman" w:cs="Times New Roman"/>
              </w:rPr>
              <w:t xml:space="preserve"> </w:t>
            </w:r>
            <w:r>
              <w:rPr>
                <w:rFonts w:ascii="Times New Roman" w:hAnsi="Times New Roman" w:cs="Times New Roman"/>
              </w:rPr>
              <w:br/>
            </w:r>
            <w:r w:rsidRPr="008C7748">
              <w:rPr>
                <w:rFonts w:ascii="Times New Roman" w:hAnsi="Times New Roman" w:cs="Times New Roman"/>
              </w:rPr>
              <w:t>Email:</w:t>
            </w:r>
            <w:r>
              <w:rPr>
                <w:rFonts w:ascii="Times New Roman" w:hAnsi="Times New Roman" w:cs="Times New Roman"/>
              </w:rPr>
              <w:t xml:space="preserve"> </w:t>
            </w:r>
            <w:r>
              <w:rPr>
                <w:rFonts w:ascii="Times New Roman" w:hAnsi="Times New Roman" w:cs="Times New Roman"/>
                <w:u w:val="single"/>
              </w:rPr>
              <w:t>nguyenhoanglong</w:t>
            </w:r>
            <w:r w:rsidRPr="008C7748">
              <w:rPr>
                <w:rFonts w:ascii="Times New Roman" w:hAnsi="Times New Roman" w:cs="Times New Roman"/>
                <w:u w:val="single"/>
              </w:rPr>
              <w:t>@mof.gov.vn</w:t>
            </w:r>
          </w:p>
        </w:tc>
      </w:tr>
    </w:tbl>
    <w:p w:rsidR="00D11FD4" w:rsidRPr="00D11FD4" w:rsidRDefault="00D11FD4" w:rsidP="00A14317">
      <w:pPr>
        <w:rPr>
          <w:rFonts w:ascii="Arial" w:hAnsi="Arial" w:cs="Arial"/>
        </w:rPr>
      </w:pPr>
    </w:p>
    <w:sectPr w:rsidR="00D11FD4" w:rsidRPr="00D11FD4" w:rsidSect="00150D8D">
      <w:headerReference w:type="default" r:id="rId9"/>
      <w:pgSz w:w="11907" w:h="16839" w:code="9"/>
      <w:pgMar w:top="454" w:right="680" w:bottom="284" w:left="680" w:header="5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42F" w:rsidRDefault="0089542F" w:rsidP="00725E52">
      <w:pPr>
        <w:spacing w:after="0" w:line="240" w:lineRule="auto"/>
      </w:pPr>
      <w:r>
        <w:separator/>
      </w:r>
    </w:p>
  </w:endnote>
  <w:endnote w:type="continuationSeparator" w:id="0">
    <w:p w:rsidR="0089542F" w:rsidRDefault="0089542F" w:rsidP="00725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42F" w:rsidRDefault="0089542F" w:rsidP="00725E52">
      <w:pPr>
        <w:spacing w:after="0" w:line="240" w:lineRule="auto"/>
      </w:pPr>
      <w:r>
        <w:separator/>
      </w:r>
    </w:p>
  </w:footnote>
  <w:footnote w:type="continuationSeparator" w:id="0">
    <w:p w:rsidR="0089542F" w:rsidRDefault="0089542F" w:rsidP="00725E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D13" w:rsidRDefault="00222D13" w:rsidP="00725E52">
    <w:pPr>
      <w:pStyle w:val="Header"/>
      <w:spacing w:before="120"/>
      <w:jc w:val="right"/>
      <w:rPr>
        <w:rFonts w:ascii="Times New Roman" w:hAnsi="Times New Roman" w:cs="Times New Roman"/>
        <w:b/>
        <w:i/>
      </w:rPr>
    </w:pPr>
  </w:p>
  <w:p w:rsidR="00643DAE" w:rsidRPr="00643DAE" w:rsidRDefault="00643DAE" w:rsidP="00725E52">
    <w:pPr>
      <w:pStyle w:val="Header"/>
      <w:spacing w:before="120"/>
      <w:jc w:val="right"/>
      <w:rPr>
        <w:rFonts w:ascii="Times New Roman" w:hAnsi="Times New Roman" w:cs="Times New Roman"/>
        <w:b/>
        <w:i/>
        <w:sz w:val="2"/>
      </w:rPr>
    </w:pPr>
  </w:p>
  <w:p w:rsidR="00725E52" w:rsidRPr="00725E52" w:rsidRDefault="00D36B6C" w:rsidP="008B7236">
    <w:pPr>
      <w:pStyle w:val="Header"/>
      <w:spacing w:before="120" w:after="120"/>
      <w:jc w:val="right"/>
      <w:rPr>
        <w:rFonts w:ascii="Times New Roman" w:hAnsi="Times New Roman" w:cs="Times New Roman"/>
        <w:b/>
        <w:i/>
      </w:rPr>
    </w:pPr>
    <w:r>
      <w:rPr>
        <w:rFonts w:ascii="Times New Roman" w:hAnsi="Times New Roman" w:cs="Times New Roman"/>
        <w:b/>
        <w:i/>
      </w:rPr>
      <w:t xml:space="preserve">Phụ lục </w:t>
    </w:r>
    <w:r w:rsidR="00365E90">
      <w:rPr>
        <w:rFonts w:ascii="Times New Roman" w:hAnsi="Times New Roman" w:cs="Times New Roman"/>
        <w:b/>
        <w:i/>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6C0"/>
    <w:rsid w:val="00003525"/>
    <w:rsid w:val="00006ED7"/>
    <w:rsid w:val="00012FDE"/>
    <w:rsid w:val="00020568"/>
    <w:rsid w:val="00024109"/>
    <w:rsid w:val="000E7ED8"/>
    <w:rsid w:val="000F163B"/>
    <w:rsid w:val="000F4B94"/>
    <w:rsid w:val="00105AD7"/>
    <w:rsid w:val="00110066"/>
    <w:rsid w:val="00126741"/>
    <w:rsid w:val="0014720E"/>
    <w:rsid w:val="00150D8D"/>
    <w:rsid w:val="001514D6"/>
    <w:rsid w:val="0015763F"/>
    <w:rsid w:val="00171A4C"/>
    <w:rsid w:val="00181173"/>
    <w:rsid w:val="00182C72"/>
    <w:rsid w:val="001D166C"/>
    <w:rsid w:val="001D5F42"/>
    <w:rsid w:val="001E03CD"/>
    <w:rsid w:val="001E31DA"/>
    <w:rsid w:val="001E3F1D"/>
    <w:rsid w:val="001F4909"/>
    <w:rsid w:val="00222D13"/>
    <w:rsid w:val="002271F0"/>
    <w:rsid w:val="00227432"/>
    <w:rsid w:val="00285948"/>
    <w:rsid w:val="002A5817"/>
    <w:rsid w:val="002F1C9B"/>
    <w:rsid w:val="00317C37"/>
    <w:rsid w:val="00320329"/>
    <w:rsid w:val="00324AC8"/>
    <w:rsid w:val="00324FA0"/>
    <w:rsid w:val="0032785B"/>
    <w:rsid w:val="00336EFC"/>
    <w:rsid w:val="00345D3E"/>
    <w:rsid w:val="00365E90"/>
    <w:rsid w:val="003675A9"/>
    <w:rsid w:val="00374D2E"/>
    <w:rsid w:val="00384F02"/>
    <w:rsid w:val="00385A7A"/>
    <w:rsid w:val="003914FC"/>
    <w:rsid w:val="003A450A"/>
    <w:rsid w:val="003B59F7"/>
    <w:rsid w:val="003C6AE9"/>
    <w:rsid w:val="003C756C"/>
    <w:rsid w:val="003C76C0"/>
    <w:rsid w:val="003D0462"/>
    <w:rsid w:val="004007AC"/>
    <w:rsid w:val="004125C2"/>
    <w:rsid w:val="0042468A"/>
    <w:rsid w:val="00437E4B"/>
    <w:rsid w:val="00471BAC"/>
    <w:rsid w:val="004B7F7A"/>
    <w:rsid w:val="004E0218"/>
    <w:rsid w:val="004E133E"/>
    <w:rsid w:val="0050129A"/>
    <w:rsid w:val="00512230"/>
    <w:rsid w:val="005140D3"/>
    <w:rsid w:val="00531716"/>
    <w:rsid w:val="005333BC"/>
    <w:rsid w:val="00566B4B"/>
    <w:rsid w:val="00570CE9"/>
    <w:rsid w:val="00575251"/>
    <w:rsid w:val="005B28BE"/>
    <w:rsid w:val="005C2129"/>
    <w:rsid w:val="005D4748"/>
    <w:rsid w:val="005D7B2C"/>
    <w:rsid w:val="005E3665"/>
    <w:rsid w:val="0062014E"/>
    <w:rsid w:val="00620A92"/>
    <w:rsid w:val="00621165"/>
    <w:rsid w:val="00643DAE"/>
    <w:rsid w:val="006937C4"/>
    <w:rsid w:val="00696498"/>
    <w:rsid w:val="006D120B"/>
    <w:rsid w:val="006D3A5C"/>
    <w:rsid w:val="00704005"/>
    <w:rsid w:val="00717800"/>
    <w:rsid w:val="00725E52"/>
    <w:rsid w:val="00736A2B"/>
    <w:rsid w:val="00761538"/>
    <w:rsid w:val="00761BFE"/>
    <w:rsid w:val="007801EF"/>
    <w:rsid w:val="0078146F"/>
    <w:rsid w:val="007C5F76"/>
    <w:rsid w:val="007D211C"/>
    <w:rsid w:val="007D7D44"/>
    <w:rsid w:val="007F07FB"/>
    <w:rsid w:val="00804802"/>
    <w:rsid w:val="008147BA"/>
    <w:rsid w:val="00825734"/>
    <w:rsid w:val="0082676E"/>
    <w:rsid w:val="008512AD"/>
    <w:rsid w:val="00866C9C"/>
    <w:rsid w:val="00867CB0"/>
    <w:rsid w:val="00887232"/>
    <w:rsid w:val="008929CB"/>
    <w:rsid w:val="008952A2"/>
    <w:rsid w:val="0089542F"/>
    <w:rsid w:val="008A0586"/>
    <w:rsid w:val="008B7236"/>
    <w:rsid w:val="008D50E2"/>
    <w:rsid w:val="008E5203"/>
    <w:rsid w:val="00916196"/>
    <w:rsid w:val="00917BC3"/>
    <w:rsid w:val="00965CAB"/>
    <w:rsid w:val="009759D9"/>
    <w:rsid w:val="00977099"/>
    <w:rsid w:val="00986D3C"/>
    <w:rsid w:val="009B5CB9"/>
    <w:rsid w:val="00A04324"/>
    <w:rsid w:val="00A11CE4"/>
    <w:rsid w:val="00A14317"/>
    <w:rsid w:val="00A158BD"/>
    <w:rsid w:val="00A50E45"/>
    <w:rsid w:val="00A57B03"/>
    <w:rsid w:val="00A71AB2"/>
    <w:rsid w:val="00A93A5F"/>
    <w:rsid w:val="00A93CBA"/>
    <w:rsid w:val="00AD7874"/>
    <w:rsid w:val="00AF07CB"/>
    <w:rsid w:val="00AF246D"/>
    <w:rsid w:val="00B17A26"/>
    <w:rsid w:val="00B3222B"/>
    <w:rsid w:val="00B42444"/>
    <w:rsid w:val="00B43A91"/>
    <w:rsid w:val="00B91A68"/>
    <w:rsid w:val="00B95472"/>
    <w:rsid w:val="00B97D6C"/>
    <w:rsid w:val="00BA578A"/>
    <w:rsid w:val="00BC53C6"/>
    <w:rsid w:val="00BD2771"/>
    <w:rsid w:val="00BE08CD"/>
    <w:rsid w:val="00BE4ADA"/>
    <w:rsid w:val="00BF19D5"/>
    <w:rsid w:val="00BF53AB"/>
    <w:rsid w:val="00C25557"/>
    <w:rsid w:val="00C54369"/>
    <w:rsid w:val="00C92B89"/>
    <w:rsid w:val="00CA0683"/>
    <w:rsid w:val="00CB2A78"/>
    <w:rsid w:val="00CC6E7B"/>
    <w:rsid w:val="00CE4A56"/>
    <w:rsid w:val="00D011AE"/>
    <w:rsid w:val="00D11FD4"/>
    <w:rsid w:val="00D14E31"/>
    <w:rsid w:val="00D36B6C"/>
    <w:rsid w:val="00D50301"/>
    <w:rsid w:val="00D6228F"/>
    <w:rsid w:val="00D8105B"/>
    <w:rsid w:val="00DA7C35"/>
    <w:rsid w:val="00DB1AFF"/>
    <w:rsid w:val="00DC66D5"/>
    <w:rsid w:val="00DD02A9"/>
    <w:rsid w:val="00DD52C6"/>
    <w:rsid w:val="00E110C7"/>
    <w:rsid w:val="00E16340"/>
    <w:rsid w:val="00E30AAA"/>
    <w:rsid w:val="00E36690"/>
    <w:rsid w:val="00E614B7"/>
    <w:rsid w:val="00E631F7"/>
    <w:rsid w:val="00E917DE"/>
    <w:rsid w:val="00E95AA7"/>
    <w:rsid w:val="00EC095F"/>
    <w:rsid w:val="00EC631F"/>
    <w:rsid w:val="00EF36F8"/>
    <w:rsid w:val="00F25DB9"/>
    <w:rsid w:val="00F31DA6"/>
    <w:rsid w:val="00F35C63"/>
    <w:rsid w:val="00F463FB"/>
    <w:rsid w:val="00F54EC6"/>
    <w:rsid w:val="00F5747B"/>
    <w:rsid w:val="00F67FD3"/>
    <w:rsid w:val="00F77E18"/>
    <w:rsid w:val="00F80F03"/>
    <w:rsid w:val="00FB57A1"/>
    <w:rsid w:val="00FC2F84"/>
    <w:rsid w:val="00FC72AF"/>
    <w:rsid w:val="00FD4D1A"/>
    <w:rsid w:val="00FE4416"/>
    <w:rsid w:val="00FF66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B73789-3CD9-4AF7-B7B5-F26B4A965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3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76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C76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6C0"/>
    <w:rPr>
      <w:rFonts w:ascii="Tahoma" w:hAnsi="Tahoma" w:cs="Tahoma"/>
      <w:sz w:val="16"/>
      <w:szCs w:val="16"/>
    </w:rPr>
  </w:style>
  <w:style w:type="character" w:styleId="Hyperlink">
    <w:name w:val="Hyperlink"/>
    <w:basedOn w:val="DefaultParagraphFont"/>
    <w:uiPriority w:val="99"/>
    <w:unhideWhenUsed/>
    <w:rsid w:val="00324FA0"/>
    <w:rPr>
      <w:color w:val="0000FF" w:themeColor="hyperlink"/>
      <w:u w:val="single"/>
    </w:rPr>
  </w:style>
  <w:style w:type="paragraph" w:styleId="Header">
    <w:name w:val="header"/>
    <w:basedOn w:val="Normal"/>
    <w:link w:val="HeaderChar"/>
    <w:uiPriority w:val="99"/>
    <w:unhideWhenUsed/>
    <w:rsid w:val="00725E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E52"/>
  </w:style>
  <w:style w:type="paragraph" w:styleId="Footer">
    <w:name w:val="footer"/>
    <w:basedOn w:val="Normal"/>
    <w:link w:val="FooterChar"/>
    <w:uiPriority w:val="99"/>
    <w:unhideWhenUsed/>
    <w:rsid w:val="00725E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982595">
      <w:bodyDiv w:val="1"/>
      <w:marLeft w:val="0"/>
      <w:marRight w:val="0"/>
      <w:marTop w:val="0"/>
      <w:marBottom w:val="0"/>
      <w:divBdr>
        <w:top w:val="none" w:sz="0" w:space="0" w:color="auto"/>
        <w:left w:val="none" w:sz="0" w:space="0" w:color="auto"/>
        <w:bottom w:val="none" w:sz="0" w:space="0" w:color="auto"/>
        <w:right w:val="none" w:sz="0" w:space="0" w:color="auto"/>
      </w:divBdr>
    </w:div>
    <w:div w:id="1551765177">
      <w:bodyDiv w:val="1"/>
      <w:marLeft w:val="0"/>
      <w:marRight w:val="0"/>
      <w:marTop w:val="0"/>
      <w:marBottom w:val="0"/>
      <w:divBdr>
        <w:top w:val="none" w:sz="0" w:space="0" w:color="auto"/>
        <w:left w:val="none" w:sz="0" w:space="0" w:color="auto"/>
        <w:bottom w:val="none" w:sz="0" w:space="0" w:color="auto"/>
        <w:right w:val="none" w:sz="0" w:space="0" w:color="auto"/>
      </w:divBdr>
    </w:div>
    <w:div w:id="159443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06655.ADB1FA4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FD0C3-61B5-41D5-81B2-72DE6281D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Thi Nhi</dc:creator>
  <cp:lastModifiedBy>Nguyen Hoang Long</cp:lastModifiedBy>
  <cp:revision>21</cp:revision>
  <cp:lastPrinted>2017-08-03T01:44:00Z</cp:lastPrinted>
  <dcterms:created xsi:type="dcterms:W3CDTF">2017-05-17T09:04:00Z</dcterms:created>
  <dcterms:modified xsi:type="dcterms:W3CDTF">2017-08-03T01:57:00Z</dcterms:modified>
</cp:coreProperties>
</file>