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358" w:tblpY="158"/>
        <w:tblW w:w="10173" w:type="dxa"/>
        <w:tblLook w:val="04A0" w:firstRow="1" w:lastRow="0" w:firstColumn="1" w:lastColumn="0" w:noHBand="0" w:noVBand="1"/>
      </w:tblPr>
      <w:tblGrid>
        <w:gridCol w:w="5637"/>
        <w:gridCol w:w="283"/>
        <w:gridCol w:w="4253"/>
      </w:tblGrid>
      <w:tr w:rsidR="00222D13" w:rsidTr="00651EDD">
        <w:trPr>
          <w:trHeight w:val="1266"/>
        </w:trPr>
        <w:tc>
          <w:tcPr>
            <w:tcW w:w="10173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:rsidR="00222D13" w:rsidRDefault="0002750C" w:rsidP="00651EDD">
            <w:pPr>
              <w:spacing w:before="24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5.2pt;margin-top:14.45pt;width:291.1pt;height:57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      <v:textbox style="mso-next-textbox:#_x0000_s1027;mso-fit-shape-to-text:t">
                    <w:txbxContent>
                      <w:p w:rsidR="00222D13" w:rsidRPr="00F25DB9" w:rsidRDefault="00222D13" w:rsidP="00222D13">
                        <w:pPr>
                          <w:spacing w:after="60"/>
                          <w:ind w:left="-306" w:firstLine="30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25DB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Cục Quả</w:t>
                        </w:r>
                        <w:r w:rsidR="001D5F42" w:rsidRPr="00F25DB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n lý, Giám sát b</w:t>
                        </w:r>
                        <w:r w:rsidRPr="00F25DB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ảo hiểm</w:t>
                        </w:r>
                      </w:p>
                      <w:p w:rsidR="00222D13" w:rsidRPr="00F25DB9" w:rsidRDefault="00222D13" w:rsidP="00222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25DB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Trung tâm Nghiên c</w:t>
                        </w:r>
                        <w:r w:rsidRPr="00F25DB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vi-VN"/>
                          </w:rPr>
                          <w:t xml:space="preserve">ứu và Đào tạo </w:t>
                        </w:r>
                        <w:r w:rsidRPr="00F25DB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bảo hiểm</w:t>
                        </w:r>
                      </w:p>
                    </w:txbxContent>
                  </v:textbox>
                </v:shape>
              </w:pict>
            </w:r>
            <w:r w:rsidR="00222D13">
              <w:br w:type="page"/>
            </w:r>
            <w:r w:rsidR="00222D13">
              <w:rPr>
                <w:noProof/>
              </w:rPr>
              <w:drawing>
                <wp:inline distT="0" distB="0" distL="0" distR="0" wp14:anchorId="69B39386" wp14:editId="292F688E">
                  <wp:extent cx="952500" cy="574827"/>
                  <wp:effectExtent l="19050" t="0" r="0" b="0"/>
                  <wp:docPr id="14" name="Picture 1" descr="Description: IRT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RT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42" cy="57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D13" w:rsidRPr="00A11CE4" w:rsidRDefault="00222D13" w:rsidP="00651EDD"/>
        </w:tc>
      </w:tr>
      <w:tr w:rsidR="00105AD7" w:rsidTr="00651EDD">
        <w:trPr>
          <w:trHeight w:val="1404"/>
        </w:trPr>
        <w:tc>
          <w:tcPr>
            <w:tcW w:w="10173" w:type="dxa"/>
            <w:gridSpan w:val="3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105AD7" w:rsidRPr="00B95472" w:rsidRDefault="00105AD7" w:rsidP="00651EDD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B95472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Khóa đào tạo </w:t>
            </w:r>
            <w:r w:rsidR="006A2549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Phương pháp sư phạm và</w:t>
            </w:r>
            <w:r w:rsidR="006A2549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br/>
              <w:t>kỹ thuật dạy học tích cực</w:t>
            </w:r>
          </w:p>
          <w:p w:rsidR="00105AD7" w:rsidRDefault="00105AD7" w:rsidP="00651EDD"/>
        </w:tc>
      </w:tr>
      <w:tr w:rsidR="00651EDD" w:rsidTr="006A2C68">
        <w:trPr>
          <w:trHeight w:val="2973"/>
        </w:trPr>
        <w:tc>
          <w:tcPr>
            <w:tcW w:w="5637" w:type="dxa"/>
            <w:tcBorders>
              <w:top w:val="single" w:sz="4" w:space="0" w:color="auto"/>
              <w:bottom w:val="nil"/>
              <w:right w:val="nil"/>
            </w:tcBorders>
          </w:tcPr>
          <w:p w:rsidR="00651EDD" w:rsidRPr="00651EDD" w:rsidRDefault="00651EDD" w:rsidP="00651EDD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 w:rsidRPr="00651ED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ời gian:</w:t>
            </w:r>
            <w:r w:rsidRPr="00651E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>từ ngày 15 - 16/6/2017</w:t>
            </w:r>
          </w:p>
          <w:p w:rsidR="00651EDD" w:rsidRPr="00651EDD" w:rsidRDefault="00651EDD" w:rsidP="00651E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(02 ngày) </w:t>
            </w:r>
          </w:p>
          <w:p w:rsidR="00651EDD" w:rsidRPr="00651EDD" w:rsidRDefault="00651EDD" w:rsidP="00651ED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Địa điểm: </w:t>
            </w: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  <w:p w:rsidR="00651EDD" w:rsidRPr="00651EDD" w:rsidRDefault="00651EDD" w:rsidP="00651E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1EDD" w:rsidRPr="00651EDD" w:rsidRDefault="00651EDD" w:rsidP="00651E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b/>
                <w:sz w:val="26"/>
                <w:szCs w:val="26"/>
              </w:rPr>
              <w:t>Nội dung khóa học</w:t>
            </w:r>
          </w:p>
          <w:p w:rsidR="00651EDD" w:rsidRPr="00651EDD" w:rsidRDefault="00651EDD" w:rsidP="00651E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>Học tập qua trải nghiệm các phương pháp sư phạm và dạy học tích cực: phương pháp giải quyết tình huống, kể chuyện, “5W-2How”…; kĩ thuật “4S”, “5 xin” “321”…</w:t>
            </w:r>
          </w:p>
          <w:p w:rsidR="00651EDD" w:rsidRPr="00651EDD" w:rsidRDefault="00651EDD" w:rsidP="00651E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 xml:space="preserve">- Rèn luyện, thực hành các phương pháp sư phạm, kĩ thuật dạy học tích cực. </w:t>
            </w:r>
          </w:p>
          <w:p w:rsidR="00651EDD" w:rsidRPr="00651EDD" w:rsidRDefault="00651EDD" w:rsidP="00651E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>- Xây dựng nội dung bài giảng và giảng thử.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1EDD" w:rsidRPr="00651EDD" w:rsidRDefault="00651EDD" w:rsidP="00651ED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651EDD" w:rsidRPr="00651EDD" w:rsidRDefault="00651EDD" w:rsidP="00651EDD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b/>
                <w:sz w:val="26"/>
                <w:szCs w:val="26"/>
              </w:rPr>
              <w:t>Kết quả đào tạo</w:t>
            </w:r>
          </w:p>
          <w:p w:rsidR="00651EDD" w:rsidRPr="00651EDD" w:rsidRDefault="00651EDD" w:rsidP="00780CE9">
            <w:pPr>
              <w:spacing w:before="12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651ED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Học viên đủ điều kiện sẽ được IRT cấp Chứng 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nhận</w:t>
            </w:r>
            <w:r w:rsidRPr="00651ED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hoàn thành khóa đào tạo phương pháp sư phạm và kỹ thuật dạy học tích cực.</w:t>
            </w:r>
          </w:p>
          <w:p w:rsidR="00651EDD" w:rsidRPr="00651EDD" w:rsidRDefault="00651EDD" w:rsidP="00780CE9">
            <w:pPr>
              <w:tabs>
                <w:tab w:val="right" w:pos="4320"/>
              </w:tabs>
              <w:spacing w:before="24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b/>
                <w:sz w:val="26"/>
                <w:szCs w:val="26"/>
              </w:rPr>
              <w:t>Giảng viên:</w:t>
            </w:r>
            <w:r w:rsidRPr="00651EDD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651EDD" w:rsidRPr="00651EDD" w:rsidRDefault="00651EDD" w:rsidP="00651E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>PGS.TS.GVCC Nguyễn Mạnh Hưở</w:t>
            </w:r>
            <w:r w:rsidR="008128D4"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>PGĐ Trung tâm Nghiên cứu và Phát triển Nghiệp vụ Sư phạm, Trường Đại học Sư phạm Hà Nộ</w:t>
            </w:r>
            <w:r w:rsidR="008128D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1EDD" w:rsidRPr="009B674C" w:rsidRDefault="00651EDD" w:rsidP="00651EDD">
            <w:pPr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9B674C" w:rsidRDefault="00651EDD" w:rsidP="009B674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 xml:space="preserve">Là giảng viên giàu kiến thức, kinh nghiệm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về phương pháp dạy học, chuyên tham gia đào tạo, bồi dưỡng về phương pháp sư phạm trên truyền hình và ở nhiều tỉnh/thành trên cả nước. </w:t>
            </w:r>
            <w:r w:rsidR="009B674C">
              <w:rPr>
                <w:rFonts w:ascii="Times New Roman" w:hAnsi="Times New Roman" w:cs="Times New Roman"/>
                <w:sz w:val="26"/>
                <w:szCs w:val="26"/>
              </w:rPr>
              <w:t>Giảng viên cũng chủ trì và trực tiếp giảng dạy cho nhiều doanh nghiệp lớn, doanh nghiệp bảo hi</w:t>
            </w:r>
            <w:bookmarkStart w:id="0" w:name="_GoBack"/>
            <w:bookmarkEnd w:id="0"/>
            <w:r w:rsidR="009B674C">
              <w:rPr>
                <w:rFonts w:ascii="Times New Roman" w:hAnsi="Times New Roman" w:cs="Times New Roman"/>
                <w:sz w:val="26"/>
                <w:szCs w:val="26"/>
              </w:rPr>
              <w:t>ểm.</w:t>
            </w:r>
          </w:p>
          <w:p w:rsidR="00651EDD" w:rsidRPr="00651EDD" w:rsidRDefault="00651EDD" w:rsidP="00651E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 xml:space="preserve">Với tư cách là giảng viên của Trung tâm Nghiên cứu và Đào tạo Bảo hiểm,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PGS.TS.</w:t>
            </w:r>
            <w:r w:rsidR="00780CE9">
              <w:rPr>
                <w:rFonts w:ascii="Times New Roman" w:hAnsi="Times New Roman" w:cs="Times New Roman"/>
                <w:sz w:val="26"/>
                <w:szCs w:val="26"/>
              </w:rPr>
              <w:t xml:space="preserve">GVCC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 Mạnh Hưởng</w:t>
            </w: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 xml:space="preserve"> là chuyên gia trực tiếp giảng dạy, tư vấn và xây dựng một số chương trình đào tạo về kỹ năng của Trung tâm.</w:t>
            </w:r>
          </w:p>
          <w:p w:rsidR="00651EDD" w:rsidRDefault="00651EDD" w:rsidP="00651E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1EDD" w:rsidRDefault="00651EDD" w:rsidP="00651EDD">
            <w:pPr>
              <w:jc w:val="both"/>
              <w:rPr>
                <w:sz w:val="26"/>
                <w:szCs w:val="26"/>
              </w:rPr>
            </w:pPr>
          </w:p>
          <w:p w:rsidR="00651EDD" w:rsidRPr="00651EDD" w:rsidRDefault="00651EDD" w:rsidP="006A2C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1EDD" w:rsidTr="006A2C68">
        <w:trPr>
          <w:trHeight w:val="145"/>
        </w:trPr>
        <w:tc>
          <w:tcPr>
            <w:tcW w:w="56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1EDD" w:rsidRPr="00651EDD" w:rsidRDefault="00651EDD" w:rsidP="00651ED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1EDD" w:rsidRPr="00651EDD" w:rsidRDefault="00651EDD" w:rsidP="00651ED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nil"/>
            </w:tcBorders>
          </w:tcPr>
          <w:p w:rsidR="00651EDD" w:rsidRPr="00651EDD" w:rsidRDefault="00651EDD" w:rsidP="006A2C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51EDD" w:rsidTr="006A2C68">
        <w:tc>
          <w:tcPr>
            <w:tcW w:w="5637" w:type="dxa"/>
            <w:tcBorders>
              <w:top w:val="nil"/>
              <w:right w:val="nil"/>
            </w:tcBorders>
          </w:tcPr>
          <w:p w:rsidR="00651EDD" w:rsidRPr="00651EDD" w:rsidRDefault="00651EDD" w:rsidP="00651EDD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b/>
                <w:sz w:val="26"/>
                <w:szCs w:val="26"/>
              </w:rPr>
              <w:t>Mục tiêu khóa học</w:t>
            </w:r>
          </w:p>
          <w:p w:rsidR="00651EDD" w:rsidRPr="00651EDD" w:rsidRDefault="00651EDD" w:rsidP="00651E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651E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>Nắm bắt được các phương pháp sư phạm và kĩ thuật dạy học tích cự</w:t>
            </w:r>
            <w:r w:rsidR="009B674C">
              <w:rPr>
                <w:rFonts w:ascii="Times New Roman" w:hAnsi="Times New Roman" w:cs="Times New Roman"/>
                <w:sz w:val="26"/>
                <w:szCs w:val="26"/>
              </w:rPr>
              <w:t>c, hiện đại, năng động;</w:t>
            </w:r>
          </w:p>
          <w:p w:rsidR="00651EDD" w:rsidRPr="00651EDD" w:rsidRDefault="00651EDD" w:rsidP="00651E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651E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9B674C" w:rsidRPr="009B674C">
              <w:rPr>
                <w:rFonts w:ascii="Times New Roman" w:hAnsi="Times New Roman" w:cs="Times New Roman"/>
                <w:sz w:val="26"/>
                <w:szCs w:val="26"/>
              </w:rPr>
              <w:t>Làm chủ và v</w:t>
            </w:r>
            <w:r w:rsidRPr="009B674C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651EDD">
              <w:rPr>
                <w:rFonts w:ascii="Times New Roman" w:hAnsi="Times New Roman" w:cs="Times New Roman"/>
                <w:sz w:val="26"/>
                <w:szCs w:val="26"/>
              </w:rPr>
              <w:t xml:space="preserve">n dụng hiệu quả kỹ năng vào công tác giảng dạy. Giải quyết các tình huống khó khăn trong công tác đào tạo và huấn luyện. </w:t>
            </w:r>
          </w:p>
          <w:p w:rsidR="00651EDD" w:rsidRPr="00651EDD" w:rsidRDefault="00651EDD" w:rsidP="00651ED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DD">
              <w:rPr>
                <w:rFonts w:ascii="Times New Roman" w:hAnsi="Times New Roman" w:cs="Times New Roman"/>
                <w:b/>
                <w:sz w:val="26"/>
                <w:szCs w:val="26"/>
              </w:rPr>
              <w:t>Đối tượng học viên</w:t>
            </w:r>
          </w:p>
          <w:p w:rsidR="00651EDD" w:rsidRPr="00651EDD" w:rsidRDefault="00651EDD" w:rsidP="00651EDD">
            <w:pPr>
              <w:numPr>
                <w:ilvl w:val="0"/>
                <w:numId w:val="1"/>
              </w:numPr>
              <w:tabs>
                <w:tab w:val="left" w:pos="180"/>
              </w:tabs>
              <w:spacing w:before="120"/>
              <w:ind w:left="0" w:firstLine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651ED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Các cán bộ đang tham gia công tác giảng dạy bảo hiể</w:t>
            </w:r>
            <w:r w:rsidR="009B674C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m tại các doanh nghiệp bảo hiểm nhân thọ, phi nhân thọ.</w:t>
            </w:r>
          </w:p>
          <w:p w:rsidR="00651EDD" w:rsidRPr="00651EDD" w:rsidRDefault="00651EDD" w:rsidP="00651EDD">
            <w:pPr>
              <w:numPr>
                <w:ilvl w:val="0"/>
                <w:numId w:val="1"/>
              </w:numPr>
              <w:tabs>
                <w:tab w:val="left" w:pos="180"/>
              </w:tabs>
              <w:spacing w:before="120"/>
              <w:ind w:left="0" w:firstLine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651ED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Những cá nhân quan tâm tới phương pháp và kỹ thuật dạy học tích cực.</w:t>
            </w:r>
          </w:p>
          <w:p w:rsidR="00651EDD" w:rsidRPr="00651EDD" w:rsidRDefault="00651EDD" w:rsidP="00651EDD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51EDD" w:rsidRPr="00651EDD" w:rsidRDefault="00651EDD" w:rsidP="00651EDD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nil"/>
            </w:tcBorders>
            <w:shd w:val="clear" w:color="auto" w:fill="auto"/>
          </w:tcPr>
          <w:p w:rsidR="00651EDD" w:rsidRPr="00651EDD" w:rsidRDefault="00651EDD" w:rsidP="00651EDD">
            <w:pPr>
              <w:jc w:val="both"/>
              <w:rPr>
                <w:sz w:val="26"/>
                <w:szCs w:val="26"/>
              </w:rPr>
            </w:pPr>
          </w:p>
        </w:tc>
      </w:tr>
      <w:tr w:rsidR="00105AD7" w:rsidTr="00651EDD">
        <w:tc>
          <w:tcPr>
            <w:tcW w:w="10173" w:type="dxa"/>
            <w:gridSpan w:val="3"/>
            <w:shd w:val="clear" w:color="auto" w:fill="DBE5F1" w:themeFill="accent1" w:themeFillTint="33"/>
          </w:tcPr>
          <w:p w:rsidR="00150D8D" w:rsidRPr="00F463FB" w:rsidRDefault="00222D13" w:rsidP="00780CE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C7748">
              <w:rPr>
                <w:rFonts w:ascii="Times New Roman" w:hAnsi="Times New Roman" w:cs="Times New Roman"/>
              </w:rPr>
              <w:t xml:space="preserve">Để biết thêm thông tin, liên hệ </w:t>
            </w:r>
            <w:r>
              <w:rPr>
                <w:rFonts w:ascii="Times New Roman" w:hAnsi="Times New Roman" w:cs="Times New Roman"/>
              </w:rPr>
              <w:t>Anh</w:t>
            </w:r>
            <w:r w:rsidRPr="008C77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Nguyễn Hoàng Long</w:t>
            </w:r>
            <w:r w:rsidRPr="008C7748">
              <w:rPr>
                <w:rFonts w:ascii="Times New Roman" w:hAnsi="Times New Roman" w:cs="Times New Roman"/>
              </w:rPr>
              <w:t xml:space="preserve"> - Điện thoại: </w:t>
            </w:r>
            <w:r>
              <w:rPr>
                <w:rFonts w:ascii="Times New Roman" w:hAnsi="Times New Roman" w:cs="Times New Roman"/>
              </w:rPr>
              <w:t>01239</w:t>
            </w:r>
            <w:r w:rsidR="00D14E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808</w:t>
            </w:r>
            <w:r w:rsidR="00D14E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777</w:t>
            </w:r>
            <w:r w:rsidRPr="008C77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8C7748">
              <w:rPr>
                <w:rFonts w:ascii="Times New Roman" w:hAnsi="Times New Roman" w:cs="Times New Roman"/>
              </w:rPr>
              <w:t>Email: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nguyenhoanglong</w:t>
            </w:r>
            <w:r w:rsidRPr="008C7748">
              <w:rPr>
                <w:rFonts w:ascii="Times New Roman" w:hAnsi="Times New Roman" w:cs="Times New Roman"/>
                <w:u w:val="single"/>
              </w:rPr>
              <w:t>@mof.gov.vn</w:t>
            </w:r>
          </w:p>
        </w:tc>
      </w:tr>
    </w:tbl>
    <w:p w:rsidR="00D11FD4" w:rsidRPr="00D11FD4" w:rsidRDefault="00D11FD4" w:rsidP="00A14317">
      <w:pPr>
        <w:rPr>
          <w:rFonts w:ascii="Arial" w:hAnsi="Arial" w:cs="Arial"/>
        </w:rPr>
      </w:pPr>
    </w:p>
    <w:sectPr w:rsidR="00D11FD4" w:rsidRPr="00D11FD4" w:rsidSect="00780CE9">
      <w:headerReference w:type="default" r:id="rId10"/>
      <w:pgSz w:w="11907" w:h="16839" w:code="9"/>
      <w:pgMar w:top="737" w:right="680" w:bottom="284" w:left="680" w:header="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0C" w:rsidRDefault="0002750C" w:rsidP="00725E52">
      <w:pPr>
        <w:spacing w:after="0" w:line="240" w:lineRule="auto"/>
      </w:pPr>
      <w:r>
        <w:separator/>
      </w:r>
    </w:p>
  </w:endnote>
  <w:endnote w:type="continuationSeparator" w:id="0">
    <w:p w:rsidR="0002750C" w:rsidRDefault="0002750C" w:rsidP="0072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0C" w:rsidRDefault="0002750C" w:rsidP="00725E52">
      <w:pPr>
        <w:spacing w:after="0" w:line="240" w:lineRule="auto"/>
      </w:pPr>
      <w:r>
        <w:separator/>
      </w:r>
    </w:p>
  </w:footnote>
  <w:footnote w:type="continuationSeparator" w:id="0">
    <w:p w:rsidR="0002750C" w:rsidRDefault="0002750C" w:rsidP="0072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13" w:rsidRDefault="00222D13" w:rsidP="00725E52">
    <w:pPr>
      <w:pStyle w:val="Header"/>
      <w:spacing w:before="120"/>
      <w:jc w:val="right"/>
      <w:rPr>
        <w:rFonts w:ascii="Times New Roman" w:hAnsi="Times New Roman" w:cs="Times New Roman"/>
        <w:b/>
        <w:i/>
      </w:rPr>
    </w:pPr>
  </w:p>
  <w:p w:rsidR="00643DAE" w:rsidRPr="00643DAE" w:rsidRDefault="00643DAE" w:rsidP="00725E52">
    <w:pPr>
      <w:pStyle w:val="Header"/>
      <w:spacing w:before="120"/>
      <w:jc w:val="right"/>
      <w:rPr>
        <w:rFonts w:ascii="Times New Roman" w:hAnsi="Times New Roman" w:cs="Times New Roman"/>
        <w:b/>
        <w:i/>
        <w:sz w:val="2"/>
      </w:rPr>
    </w:pPr>
  </w:p>
  <w:p w:rsidR="00725E52" w:rsidRPr="00725E52" w:rsidRDefault="00D36B6C" w:rsidP="008B7236">
    <w:pPr>
      <w:pStyle w:val="Header"/>
      <w:spacing w:before="120" w:after="120"/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Phụ lục </w:t>
    </w:r>
    <w:r w:rsidR="006A2549">
      <w:rPr>
        <w:rFonts w:ascii="Times New Roman" w:hAnsi="Times New Roman" w:cs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511F6"/>
    <w:multiLevelType w:val="hybridMultilevel"/>
    <w:tmpl w:val="6F7C75EC"/>
    <w:lvl w:ilvl="0" w:tplc="389037F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76C0"/>
    <w:rsid w:val="00003525"/>
    <w:rsid w:val="00006ED7"/>
    <w:rsid w:val="00012F43"/>
    <w:rsid w:val="00012FDE"/>
    <w:rsid w:val="00020568"/>
    <w:rsid w:val="00024109"/>
    <w:rsid w:val="0002750C"/>
    <w:rsid w:val="000F4B94"/>
    <w:rsid w:val="00105AD7"/>
    <w:rsid w:val="00110066"/>
    <w:rsid w:val="00126741"/>
    <w:rsid w:val="00145049"/>
    <w:rsid w:val="0014720E"/>
    <w:rsid w:val="00150D8D"/>
    <w:rsid w:val="001514D6"/>
    <w:rsid w:val="0015763F"/>
    <w:rsid w:val="00171A4C"/>
    <w:rsid w:val="00181173"/>
    <w:rsid w:val="00182C72"/>
    <w:rsid w:val="00196E06"/>
    <w:rsid w:val="001D166C"/>
    <w:rsid w:val="001D5F42"/>
    <w:rsid w:val="001E03CD"/>
    <w:rsid w:val="001E31DA"/>
    <w:rsid w:val="001E3F1D"/>
    <w:rsid w:val="001F4909"/>
    <w:rsid w:val="00222D13"/>
    <w:rsid w:val="00227432"/>
    <w:rsid w:val="002A5817"/>
    <w:rsid w:val="002F1C9B"/>
    <w:rsid w:val="00317C37"/>
    <w:rsid w:val="00320329"/>
    <w:rsid w:val="00324AC8"/>
    <w:rsid w:val="00324FA0"/>
    <w:rsid w:val="0032785B"/>
    <w:rsid w:val="00345D3E"/>
    <w:rsid w:val="00356B18"/>
    <w:rsid w:val="00374D2E"/>
    <w:rsid w:val="00384F02"/>
    <w:rsid w:val="00385A7A"/>
    <w:rsid w:val="003A450A"/>
    <w:rsid w:val="003B59F7"/>
    <w:rsid w:val="003C6AE9"/>
    <w:rsid w:val="003C76C0"/>
    <w:rsid w:val="003D0462"/>
    <w:rsid w:val="004007AC"/>
    <w:rsid w:val="004125C2"/>
    <w:rsid w:val="00437E4B"/>
    <w:rsid w:val="00471BAC"/>
    <w:rsid w:val="004B7F7A"/>
    <w:rsid w:val="004E0218"/>
    <w:rsid w:val="004E133E"/>
    <w:rsid w:val="0050129A"/>
    <w:rsid w:val="00512230"/>
    <w:rsid w:val="00531716"/>
    <w:rsid w:val="005333BC"/>
    <w:rsid w:val="00566B4B"/>
    <w:rsid w:val="005B28BE"/>
    <w:rsid w:val="005C2129"/>
    <w:rsid w:val="005D4748"/>
    <w:rsid w:val="005E3665"/>
    <w:rsid w:val="0062014E"/>
    <w:rsid w:val="00620A92"/>
    <w:rsid w:val="00621165"/>
    <w:rsid w:val="00643DAE"/>
    <w:rsid w:val="00651EDD"/>
    <w:rsid w:val="006937C4"/>
    <w:rsid w:val="00696498"/>
    <w:rsid w:val="006A2549"/>
    <w:rsid w:val="00704005"/>
    <w:rsid w:val="00717800"/>
    <w:rsid w:val="00725E52"/>
    <w:rsid w:val="00736A2B"/>
    <w:rsid w:val="00761BFE"/>
    <w:rsid w:val="007801EF"/>
    <w:rsid w:val="00780CE9"/>
    <w:rsid w:val="007D211C"/>
    <w:rsid w:val="007D7D44"/>
    <w:rsid w:val="00804802"/>
    <w:rsid w:val="008128D4"/>
    <w:rsid w:val="008147BA"/>
    <w:rsid w:val="00825734"/>
    <w:rsid w:val="0082676E"/>
    <w:rsid w:val="008512AD"/>
    <w:rsid w:val="00866C9C"/>
    <w:rsid w:val="00887232"/>
    <w:rsid w:val="008929CB"/>
    <w:rsid w:val="008952A2"/>
    <w:rsid w:val="008B7236"/>
    <w:rsid w:val="008D50E2"/>
    <w:rsid w:val="008E5203"/>
    <w:rsid w:val="00916196"/>
    <w:rsid w:val="00917BC3"/>
    <w:rsid w:val="00965CAB"/>
    <w:rsid w:val="009759D9"/>
    <w:rsid w:val="00977099"/>
    <w:rsid w:val="009A1F03"/>
    <w:rsid w:val="009B5CB9"/>
    <w:rsid w:val="009B674C"/>
    <w:rsid w:val="00A04324"/>
    <w:rsid w:val="00A11CE4"/>
    <w:rsid w:val="00A14317"/>
    <w:rsid w:val="00A158BD"/>
    <w:rsid w:val="00A50E45"/>
    <w:rsid w:val="00A57B03"/>
    <w:rsid w:val="00A93CBA"/>
    <w:rsid w:val="00AF07CB"/>
    <w:rsid w:val="00AF246D"/>
    <w:rsid w:val="00B17A26"/>
    <w:rsid w:val="00B3222B"/>
    <w:rsid w:val="00B42444"/>
    <w:rsid w:val="00B65B01"/>
    <w:rsid w:val="00B91A68"/>
    <w:rsid w:val="00B95472"/>
    <w:rsid w:val="00B97D6C"/>
    <w:rsid w:val="00BD2771"/>
    <w:rsid w:val="00BE4ADA"/>
    <w:rsid w:val="00BF19D5"/>
    <w:rsid w:val="00BF53AB"/>
    <w:rsid w:val="00C92B89"/>
    <w:rsid w:val="00CB2A78"/>
    <w:rsid w:val="00CC6E7B"/>
    <w:rsid w:val="00CE4A56"/>
    <w:rsid w:val="00D011AE"/>
    <w:rsid w:val="00D11FD4"/>
    <w:rsid w:val="00D14E31"/>
    <w:rsid w:val="00D36B6C"/>
    <w:rsid w:val="00D50301"/>
    <w:rsid w:val="00D6228F"/>
    <w:rsid w:val="00D8105B"/>
    <w:rsid w:val="00DA7C35"/>
    <w:rsid w:val="00DB1AFF"/>
    <w:rsid w:val="00DC66D5"/>
    <w:rsid w:val="00DD02A9"/>
    <w:rsid w:val="00DD52C6"/>
    <w:rsid w:val="00E110C7"/>
    <w:rsid w:val="00E30AAA"/>
    <w:rsid w:val="00E36690"/>
    <w:rsid w:val="00E631F7"/>
    <w:rsid w:val="00E917DE"/>
    <w:rsid w:val="00E95AA7"/>
    <w:rsid w:val="00EC631F"/>
    <w:rsid w:val="00EF36F8"/>
    <w:rsid w:val="00F25DB9"/>
    <w:rsid w:val="00F31DA6"/>
    <w:rsid w:val="00F35C63"/>
    <w:rsid w:val="00F463FB"/>
    <w:rsid w:val="00F54EC6"/>
    <w:rsid w:val="00F67FD3"/>
    <w:rsid w:val="00F77E18"/>
    <w:rsid w:val="00F80F03"/>
    <w:rsid w:val="00FB57A1"/>
    <w:rsid w:val="00FC2F84"/>
    <w:rsid w:val="00FD4D1A"/>
    <w:rsid w:val="00FE4416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B73789-3CD9-4AF7-B7B5-F26B4A9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4F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52"/>
  </w:style>
  <w:style w:type="paragraph" w:styleId="Footer">
    <w:name w:val="footer"/>
    <w:basedOn w:val="Normal"/>
    <w:link w:val="FooterChar"/>
    <w:uiPriority w:val="99"/>
    <w:unhideWhenUsed/>
    <w:rsid w:val="00725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06655.ADB1FA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4315-0C9B-4465-B65A-A3C81CD2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Thi Nhi</dc:creator>
  <cp:lastModifiedBy>Nguyen Hoang Long</cp:lastModifiedBy>
  <cp:revision>21</cp:revision>
  <cp:lastPrinted>2017-05-16T02:30:00Z</cp:lastPrinted>
  <dcterms:created xsi:type="dcterms:W3CDTF">2016-02-01T03:21:00Z</dcterms:created>
  <dcterms:modified xsi:type="dcterms:W3CDTF">2017-05-16T02:37:00Z</dcterms:modified>
</cp:coreProperties>
</file>